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7911" w14:textId="7A5CDB67" w:rsidR="006969E9" w:rsidRDefault="006969E9" w:rsidP="00D2300A">
      <w:pPr>
        <w:pStyle w:val="BodyHeading"/>
        <w:sectPr w:rsidR="006969E9" w:rsidSect="00065325">
          <w:headerReference w:type="default" r:id="rId8"/>
          <w:footerReference w:type="default" r:id="rId9"/>
          <w:headerReference w:type="first" r:id="rId10"/>
          <w:footerReference w:type="first" r:id="rId11"/>
          <w:pgSz w:w="11899" w:h="16838" w:code="9"/>
          <w:pgMar w:top="946" w:right="907" w:bottom="1418" w:left="907" w:header="284" w:footer="442" w:gutter="0"/>
          <w:cols w:space="720"/>
        </w:sectPr>
      </w:pPr>
      <w:bookmarkStart w:id="0" w:name="_GoBack"/>
      <w:bookmarkEnd w:id="0"/>
    </w:p>
    <w:p w14:paraId="142F32A5" w14:textId="79F8FB77" w:rsidR="003644B9" w:rsidRPr="003644B9" w:rsidRDefault="00BE0260" w:rsidP="003644B9">
      <w:pPr>
        <w:pStyle w:val="Body"/>
        <w:spacing w:before="0" w:after="0"/>
        <w:ind w:left="-125" w:right="-119"/>
        <w:rPr>
          <w:b/>
        </w:rPr>
      </w:pPr>
      <w:r w:rsidRPr="003644B9">
        <w:rPr>
          <w:b/>
        </w:rPr>
        <w:lastRenderedPageBreak/>
        <w:t xml:space="preserve">This checklist </w:t>
      </w:r>
      <w:r w:rsidR="006969E9" w:rsidRPr="003644B9">
        <w:rPr>
          <w:b/>
        </w:rPr>
        <w:t>will assist public practice members in discharging the</w:t>
      </w:r>
      <w:r w:rsidR="00FD6DE9" w:rsidRPr="003644B9">
        <w:rPr>
          <w:b/>
        </w:rPr>
        <w:t>ir obligations in preparing 201</w:t>
      </w:r>
      <w:r w:rsidR="00AA522D">
        <w:rPr>
          <w:b/>
        </w:rPr>
        <w:t>7</w:t>
      </w:r>
      <w:r w:rsidR="006969E9" w:rsidRPr="003644B9">
        <w:rPr>
          <w:b/>
        </w:rPr>
        <w:t xml:space="preserve"> individual tax returns.</w:t>
      </w:r>
    </w:p>
    <w:p w14:paraId="08230FC9" w14:textId="77777777" w:rsidR="003644B9" w:rsidRPr="003644B9" w:rsidRDefault="003644B9" w:rsidP="003644B9">
      <w:pPr>
        <w:pStyle w:val="Body"/>
        <w:spacing w:before="0" w:after="0"/>
        <w:ind w:left="-125" w:right="-119"/>
        <w:rPr>
          <w:b/>
        </w:rPr>
      </w:pPr>
    </w:p>
    <w:p w14:paraId="38CE99C3" w14:textId="4DEE48CC" w:rsidR="003644B9" w:rsidRDefault="006969E9" w:rsidP="003644B9">
      <w:pPr>
        <w:pStyle w:val="Body"/>
        <w:spacing w:before="0" w:after="0"/>
        <w:ind w:left="-125" w:right="-119"/>
        <w:rPr>
          <w:b/>
        </w:rPr>
      </w:pPr>
      <w:r w:rsidRPr="003644B9">
        <w:rPr>
          <w:b/>
        </w:rPr>
        <w:t>It is recommended that the checklist be considered for all individual clients.</w:t>
      </w:r>
      <w:r w:rsidR="00A00DA6" w:rsidRPr="003644B9">
        <w:rPr>
          <w:b/>
        </w:rPr>
        <w:t xml:space="preserve">  </w:t>
      </w:r>
      <w:r w:rsidR="003277BD">
        <w:rPr>
          <w:b/>
        </w:rPr>
        <w:t xml:space="preserve">  </w:t>
      </w:r>
    </w:p>
    <w:p w14:paraId="2C675B88" w14:textId="77777777" w:rsidR="003644B9" w:rsidRDefault="003644B9" w:rsidP="003644B9">
      <w:pPr>
        <w:pStyle w:val="Body"/>
        <w:spacing w:before="0" w:after="0"/>
        <w:ind w:left="-125" w:right="-119"/>
        <w:rPr>
          <w:b/>
        </w:rPr>
      </w:pPr>
    </w:p>
    <w:p w14:paraId="68ED9864" w14:textId="77777777" w:rsidR="003644B9" w:rsidRPr="003644B9" w:rsidRDefault="003644B9" w:rsidP="003644B9">
      <w:pPr>
        <w:ind w:left="-125" w:right="-119"/>
        <w:rPr>
          <w:b/>
          <w:color w:val="000000"/>
          <w:sz w:val="15"/>
          <w:szCs w:val="15"/>
        </w:rPr>
      </w:pPr>
      <w:r w:rsidRPr="003644B9">
        <w:rPr>
          <w:b/>
          <w:color w:val="000000"/>
          <w:sz w:val="15"/>
          <w:szCs w:val="15"/>
        </w:rPr>
        <w:t>Disclaimer</w:t>
      </w:r>
    </w:p>
    <w:p w14:paraId="517AD010" w14:textId="605DA97D" w:rsidR="006969E9" w:rsidRDefault="003644B9" w:rsidP="003644B9">
      <w:pPr>
        <w:ind w:left="-125" w:right="-119"/>
        <w:rPr>
          <w:color w:val="000000"/>
          <w:sz w:val="15"/>
          <w:szCs w:val="15"/>
        </w:rPr>
      </w:pPr>
      <w:r w:rsidRPr="003644B9">
        <w:rPr>
          <w:color w:val="000000"/>
          <w:sz w:val="15"/>
          <w:szCs w:val="15"/>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580B2159" w14:textId="77777777" w:rsidR="003644B9" w:rsidRPr="00540F80" w:rsidRDefault="003644B9" w:rsidP="003644B9">
      <w:pPr>
        <w:ind w:left="-125" w:right="-119"/>
        <w:rPr>
          <w:b/>
        </w:rPr>
      </w:pPr>
    </w:p>
    <w:tbl>
      <w:tblPr>
        <w:tblW w:w="5000"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242"/>
        <w:gridCol w:w="9059"/>
      </w:tblGrid>
      <w:tr w:rsidR="006969E9" w:rsidRPr="005E76D2" w14:paraId="7202D54C"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8CC695" w14:textId="77777777" w:rsidR="006969E9" w:rsidRPr="00540F80" w:rsidRDefault="006969E9" w:rsidP="00434C46">
            <w:pPr>
              <w:pStyle w:val="Tableheading"/>
              <w:spacing w:before="60" w:after="60"/>
            </w:pPr>
            <w:r w:rsidRPr="00540F80">
              <w:t>Step 1</w:t>
            </w:r>
          </w:p>
        </w:tc>
        <w:tc>
          <w:tcPr>
            <w:tcW w:w="4397" w:type="pct"/>
            <w:tcBorders>
              <w:top w:val="single" w:sz="4" w:space="0" w:color="939598"/>
              <w:left w:val="single" w:sz="4" w:space="0" w:color="939598"/>
              <w:bottom w:val="single" w:sz="4" w:space="0" w:color="939598"/>
            </w:tcBorders>
            <w:vAlign w:val="center"/>
          </w:tcPr>
          <w:p w14:paraId="06AB3AFE" w14:textId="7D0026C6" w:rsidR="006969E9" w:rsidRPr="00540F80" w:rsidRDefault="006969E9" w:rsidP="00434C46">
            <w:pPr>
              <w:pStyle w:val="Table"/>
            </w:pPr>
            <w:r w:rsidRPr="00540F80">
              <w:t>Obtain a copy of the prior year return</w:t>
            </w:r>
            <w:r w:rsidR="008C025B">
              <w:t>.</w:t>
            </w:r>
            <w:r w:rsidR="005D6C88">
              <w:t xml:space="preserve">  </w:t>
            </w:r>
            <w:r w:rsidR="003277BD">
              <w:t xml:space="preserve">  </w:t>
            </w:r>
          </w:p>
        </w:tc>
      </w:tr>
      <w:tr w:rsidR="006969E9" w:rsidRPr="005E76D2" w14:paraId="60AF873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1BDB932" w14:textId="77777777" w:rsidR="006969E9" w:rsidRPr="00540F80" w:rsidRDefault="006969E9" w:rsidP="00434C46">
            <w:pPr>
              <w:pStyle w:val="Tableheading"/>
              <w:spacing w:before="60" w:after="60"/>
            </w:pPr>
            <w:r w:rsidRPr="00540F80">
              <w:t>Step 2</w:t>
            </w:r>
          </w:p>
        </w:tc>
        <w:tc>
          <w:tcPr>
            <w:tcW w:w="4397" w:type="pct"/>
            <w:tcBorders>
              <w:top w:val="single" w:sz="4" w:space="0" w:color="939598"/>
              <w:left w:val="single" w:sz="4" w:space="0" w:color="939598"/>
              <w:bottom w:val="single" w:sz="4" w:space="0" w:color="939598"/>
            </w:tcBorders>
            <w:vAlign w:val="center"/>
          </w:tcPr>
          <w:p w14:paraId="1676A548" w14:textId="41D56936" w:rsidR="006969E9" w:rsidRPr="00540F80" w:rsidRDefault="006969E9" w:rsidP="00966C29">
            <w:pPr>
              <w:pStyle w:val="Table"/>
            </w:pPr>
            <w:r w:rsidRPr="00540F80">
              <w:t xml:space="preserve">Confirm that the front cover of the prior year return has not altered, including </w:t>
            </w:r>
            <w:r w:rsidR="00966C29">
              <w:t xml:space="preserve">the </w:t>
            </w:r>
            <w:r w:rsidRPr="00540F80">
              <w:t>bank account details</w:t>
            </w:r>
            <w:r w:rsidR="00966C29">
              <w:t xml:space="preserve"> </w:t>
            </w:r>
            <w:r w:rsidR="00607BD2">
              <w:t>which must be provided where the individual is to receive a refund</w:t>
            </w:r>
            <w:r w:rsidRPr="00540F80">
              <w:t>.</w:t>
            </w:r>
            <w:r w:rsidR="005D6C88">
              <w:t xml:space="preserve"> </w:t>
            </w:r>
          </w:p>
        </w:tc>
      </w:tr>
      <w:tr w:rsidR="00B959FA" w:rsidRPr="005E76D2" w14:paraId="112BD1B8"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6F45534E" w14:textId="64ECBC56" w:rsidR="00B959FA" w:rsidRPr="00540F80" w:rsidRDefault="00B959FA" w:rsidP="00434C46">
            <w:pPr>
              <w:pStyle w:val="Tableheading"/>
              <w:spacing w:before="60" w:after="60"/>
            </w:pPr>
            <w:r>
              <w:t>Step 3</w:t>
            </w:r>
          </w:p>
        </w:tc>
        <w:tc>
          <w:tcPr>
            <w:tcW w:w="4397" w:type="pct"/>
            <w:tcBorders>
              <w:top w:val="single" w:sz="4" w:space="0" w:color="939598"/>
              <w:left w:val="single" w:sz="4" w:space="0" w:color="939598"/>
              <w:bottom w:val="single" w:sz="4" w:space="0" w:color="939598"/>
            </w:tcBorders>
            <w:vAlign w:val="center"/>
          </w:tcPr>
          <w:p w14:paraId="5199B7C5" w14:textId="61721ED0" w:rsidR="00B959FA" w:rsidRPr="00540F80" w:rsidRDefault="00B959FA" w:rsidP="00611CF7">
            <w:pPr>
              <w:pStyle w:val="Table"/>
            </w:pPr>
            <w:r>
              <w:t xml:space="preserve">Obtain a copy of the client’s pre-filling report for the current year </w:t>
            </w:r>
            <w:r w:rsidR="00966C29">
              <w:t>from the A</w:t>
            </w:r>
            <w:r w:rsidR="0091720D">
              <w:t xml:space="preserve">ustralian </w:t>
            </w:r>
            <w:r w:rsidR="00966C29">
              <w:t>T</w:t>
            </w:r>
            <w:r w:rsidR="0091720D">
              <w:t xml:space="preserve">axation </w:t>
            </w:r>
            <w:r w:rsidR="00966C29">
              <w:t>O</w:t>
            </w:r>
            <w:r w:rsidR="0091720D">
              <w:t>ffice (ATO)</w:t>
            </w:r>
            <w:r w:rsidR="00966C29">
              <w:t xml:space="preserve"> portal </w:t>
            </w:r>
            <w:r>
              <w:t>(and compare to the information provided by the client)</w:t>
            </w:r>
            <w:r w:rsidR="005D6C88">
              <w:t xml:space="preserve"> and try to reconcile any discrepancies</w:t>
            </w:r>
            <w:r w:rsidR="008C025B">
              <w:t>.</w:t>
            </w:r>
          </w:p>
        </w:tc>
      </w:tr>
      <w:tr w:rsidR="005D6C88" w:rsidRPr="005E76D2" w14:paraId="5C74E650"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74393E63" w14:textId="3CFBC5D1" w:rsidR="005D6C88" w:rsidRDefault="005D6C88" w:rsidP="00434C46">
            <w:pPr>
              <w:pStyle w:val="Tableheading"/>
              <w:spacing w:before="60" w:after="60"/>
            </w:pPr>
            <w:r>
              <w:t>Step 4</w:t>
            </w:r>
          </w:p>
        </w:tc>
        <w:tc>
          <w:tcPr>
            <w:tcW w:w="4397" w:type="pct"/>
            <w:tcBorders>
              <w:top w:val="single" w:sz="4" w:space="0" w:color="939598"/>
              <w:left w:val="single" w:sz="4" w:space="0" w:color="939598"/>
              <w:bottom w:val="single" w:sz="4" w:space="0" w:color="939598"/>
            </w:tcBorders>
            <w:vAlign w:val="center"/>
          </w:tcPr>
          <w:p w14:paraId="531B6169" w14:textId="7F549B5D" w:rsidR="005D6C88" w:rsidRDefault="005D6C88" w:rsidP="00611CF7">
            <w:pPr>
              <w:pStyle w:val="Table"/>
            </w:pPr>
            <w:r>
              <w:t>Determine if the client is a resident or non-resident for Australian tax purposes</w:t>
            </w:r>
            <w:r w:rsidR="008C025B">
              <w:t>.</w:t>
            </w:r>
          </w:p>
        </w:tc>
      </w:tr>
      <w:tr w:rsidR="006969E9" w:rsidRPr="005E76D2" w14:paraId="4955B745" w14:textId="77777777" w:rsidTr="00065325">
        <w:tc>
          <w:tcPr>
            <w:tcW w:w="603" w:type="pct"/>
            <w:tcBorders>
              <w:top w:val="single" w:sz="4" w:space="0" w:color="939598"/>
              <w:bottom w:val="single" w:sz="4" w:space="0" w:color="939598"/>
              <w:right w:val="single" w:sz="4" w:space="0" w:color="939598"/>
            </w:tcBorders>
            <w:shd w:val="clear" w:color="auto" w:fill="051C3C"/>
            <w:vAlign w:val="center"/>
          </w:tcPr>
          <w:p w14:paraId="48E2E41B" w14:textId="7C7CA9B9" w:rsidR="006969E9" w:rsidRPr="00540F80" w:rsidRDefault="006969E9" w:rsidP="00B959FA">
            <w:pPr>
              <w:pStyle w:val="Tableheading"/>
              <w:spacing w:before="60" w:after="60"/>
            </w:pPr>
            <w:r w:rsidRPr="00540F80">
              <w:t xml:space="preserve">Step </w:t>
            </w:r>
            <w:r w:rsidR="008C025B">
              <w:t>5</w:t>
            </w:r>
          </w:p>
        </w:tc>
        <w:tc>
          <w:tcPr>
            <w:tcW w:w="4397" w:type="pct"/>
            <w:tcBorders>
              <w:top w:val="single" w:sz="4" w:space="0" w:color="939598"/>
              <w:left w:val="single" w:sz="4" w:space="0" w:color="939598"/>
              <w:bottom w:val="single" w:sz="4" w:space="0" w:color="939598"/>
            </w:tcBorders>
            <w:vAlign w:val="center"/>
          </w:tcPr>
          <w:p w14:paraId="4355B035" w14:textId="77777777" w:rsidR="006969E9" w:rsidRPr="00540F80" w:rsidRDefault="006969E9" w:rsidP="00434C46">
            <w:pPr>
              <w:pStyle w:val="Table"/>
            </w:pPr>
            <w:r w:rsidRPr="00540F80">
              <w:t>Complete the checklist.</w:t>
            </w:r>
          </w:p>
        </w:tc>
      </w:tr>
    </w:tbl>
    <w:p w14:paraId="7864BFFC" w14:textId="77777777" w:rsidR="006969E9" w:rsidRPr="00540F80" w:rsidRDefault="006969E9" w:rsidP="00540F80">
      <w:pPr>
        <w:pStyle w:val="Body"/>
        <w:rPr>
          <w:b/>
        </w:rPr>
      </w:pPr>
      <w:r w:rsidRPr="00540F80">
        <w:rPr>
          <w:b/>
        </w:rPr>
        <w:t>Legend</w:t>
      </w:r>
    </w:p>
    <w:p w14:paraId="4C26124B" w14:textId="77777777" w:rsidR="006969E9" w:rsidRPr="00540F80" w:rsidRDefault="006969E9" w:rsidP="00227FE6">
      <w:pPr>
        <w:pStyle w:val="Body"/>
        <w:ind w:left="993" w:hanging="1119"/>
      </w:pPr>
      <w:r w:rsidRPr="00540F80">
        <w:rPr>
          <w:b/>
        </w:rPr>
        <w:t>Column 1:</w:t>
      </w:r>
      <w:r w:rsidRPr="00540F80">
        <w:rPr>
          <w:b/>
        </w:rPr>
        <w:tab/>
      </w:r>
      <w:r w:rsidRPr="00540F80">
        <w:t>Column 1 requires the user to indicate whether they were either Advised (‘A’) of the information or Sighted (‘S’) documentation or whether No Substantiation is required (‘N/A’).</w:t>
      </w:r>
    </w:p>
    <w:p w14:paraId="6B98A8E0" w14:textId="77777777" w:rsidR="006969E9" w:rsidRPr="00540F80" w:rsidRDefault="006969E9" w:rsidP="00227FE6">
      <w:pPr>
        <w:pStyle w:val="Body"/>
        <w:ind w:left="993" w:hanging="1119"/>
      </w:pPr>
      <w:r w:rsidRPr="00540F80">
        <w:rPr>
          <w:b/>
        </w:rPr>
        <w:t>Column 2:</w:t>
      </w:r>
      <w:r w:rsidRPr="00540F80">
        <w:tab/>
        <w:t>Column 2 requires the user to indicate whether an additional work paper (WP) should be completed in respect of that item e.g. list of dividends, interest, depreciation schedule etc.</w:t>
      </w:r>
    </w:p>
    <w:p w14:paraId="5A938D36" w14:textId="77777777" w:rsidR="006969E9" w:rsidRPr="00540F80" w:rsidRDefault="006969E9" w:rsidP="00227FE6">
      <w:pPr>
        <w:pStyle w:val="Body"/>
        <w:ind w:left="993" w:hanging="1119"/>
      </w:pPr>
      <w:r w:rsidRPr="00540F80">
        <w:rPr>
          <w:b/>
        </w:rPr>
        <w:t>Column 3:</w:t>
      </w:r>
      <w:r w:rsidRPr="00540F80">
        <w:rPr>
          <w:b/>
        </w:rPr>
        <w:tab/>
      </w:r>
      <w:r w:rsidRPr="00540F80">
        <w:t>Column 3 indicates whether an attachment was obtained in respect of that item e.g. copy of bank statement, log book etc.</w:t>
      </w:r>
    </w:p>
    <w:p w14:paraId="699D49ED" w14:textId="77777777" w:rsidR="006969E9" w:rsidRPr="00540F80" w:rsidRDefault="006969E9" w:rsidP="00540F80">
      <w:pPr>
        <w:pStyle w:val="Body"/>
      </w:pP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6969E9" w:rsidRPr="00540F80" w14:paraId="677F7EB1" w14:textId="77777777" w:rsidTr="00065325">
        <w:trPr>
          <w:tblHeader/>
        </w:trPr>
        <w:tc>
          <w:tcPr>
            <w:tcW w:w="1242" w:type="dxa"/>
            <w:tcBorders>
              <w:bottom w:val="single" w:sz="4" w:space="0" w:color="939598"/>
            </w:tcBorders>
            <w:shd w:val="clear" w:color="auto" w:fill="051C3C"/>
          </w:tcPr>
          <w:p w14:paraId="5229E5DC" w14:textId="77777777" w:rsidR="006969E9" w:rsidRPr="00540F80" w:rsidRDefault="006969E9" w:rsidP="00540F80">
            <w:pPr>
              <w:pStyle w:val="Tableheading"/>
              <w:rPr>
                <w:color w:val="FFFFFF"/>
                <w:sz w:val="18"/>
              </w:rPr>
            </w:pPr>
            <w:r w:rsidRPr="00540F80">
              <w:rPr>
                <w:color w:val="FFFFFF"/>
                <w:sz w:val="18"/>
              </w:rPr>
              <w:t>Tax Return Reference</w:t>
            </w:r>
          </w:p>
        </w:tc>
        <w:tc>
          <w:tcPr>
            <w:tcW w:w="5753" w:type="dxa"/>
            <w:tcBorders>
              <w:bottom w:val="single" w:sz="4" w:space="0" w:color="939598"/>
            </w:tcBorders>
            <w:shd w:val="clear" w:color="auto" w:fill="051C3C"/>
          </w:tcPr>
          <w:p w14:paraId="2C63FDD1" w14:textId="77777777" w:rsidR="006969E9" w:rsidRPr="00540F80" w:rsidRDefault="006969E9" w:rsidP="00540F80">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130D0D0D" w14:textId="77777777" w:rsidR="006969E9" w:rsidRPr="00540F80" w:rsidRDefault="006969E9" w:rsidP="00FC1E35">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76BA6231" w14:textId="77777777" w:rsidR="006969E9" w:rsidRPr="00540F80" w:rsidRDefault="006969E9" w:rsidP="00FC1E35">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6755F406" w14:textId="77777777" w:rsidR="006969E9" w:rsidRPr="00540F80" w:rsidRDefault="006969E9" w:rsidP="00FC1E35">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7A1117" w:rsidRPr="00AF24CF" w14:paraId="385806E0" w14:textId="77777777" w:rsidTr="00942A2E">
        <w:tblPrEx>
          <w:tblBorders>
            <w:insideH w:val="none" w:sz="0" w:space="0" w:color="auto"/>
            <w:insideV w:val="none" w:sz="0" w:space="0" w:color="auto"/>
          </w:tblBorders>
          <w:tblLook w:val="00A0" w:firstRow="1" w:lastRow="0" w:firstColumn="1" w:lastColumn="0" w:noHBand="0" w:noVBand="0"/>
        </w:tblPrEx>
        <w:tc>
          <w:tcPr>
            <w:tcW w:w="10303" w:type="dxa"/>
            <w:gridSpan w:val="5"/>
            <w:tcBorders>
              <w:top w:val="single" w:sz="4" w:space="0" w:color="939598"/>
              <w:bottom w:val="single" w:sz="4" w:space="0" w:color="939598"/>
            </w:tcBorders>
            <w:shd w:val="clear" w:color="auto" w:fill="D9D9D9" w:themeFill="background1" w:themeFillShade="D9"/>
            <w:vAlign w:val="center"/>
          </w:tcPr>
          <w:p w14:paraId="212C3773" w14:textId="77777777" w:rsidR="007A1117" w:rsidRPr="00AF24CF" w:rsidRDefault="007A1117" w:rsidP="007A1117">
            <w:pPr>
              <w:pStyle w:val="Tableheading"/>
            </w:pPr>
            <w:r w:rsidRPr="00540F80">
              <w:t xml:space="preserve">Income </w:t>
            </w:r>
          </w:p>
        </w:tc>
      </w:tr>
      <w:tr w:rsidR="006969E9" w:rsidRPr="005E76D2" w14:paraId="25547C5E" w14:textId="77777777" w:rsidTr="00F17C65">
        <w:tc>
          <w:tcPr>
            <w:tcW w:w="1242" w:type="dxa"/>
          </w:tcPr>
          <w:p w14:paraId="240C9FE2" w14:textId="77777777" w:rsidR="006969E9" w:rsidRPr="005E76D2" w:rsidRDefault="006969E9" w:rsidP="00FC73FA">
            <w:pPr>
              <w:pStyle w:val="Table"/>
            </w:pPr>
            <w:r w:rsidRPr="005E76D2">
              <w:t>1</w:t>
            </w:r>
          </w:p>
        </w:tc>
        <w:tc>
          <w:tcPr>
            <w:tcW w:w="5753" w:type="dxa"/>
          </w:tcPr>
          <w:p w14:paraId="135E7925" w14:textId="77777777" w:rsidR="006969E9" w:rsidRPr="005E76D2" w:rsidRDefault="006969E9" w:rsidP="00FC73FA">
            <w:pPr>
              <w:pStyle w:val="Table"/>
              <w:rPr>
                <w:b/>
              </w:rPr>
            </w:pPr>
            <w:r w:rsidRPr="005E76D2">
              <w:rPr>
                <w:b/>
              </w:rPr>
              <w:t>Salary or wage</w:t>
            </w:r>
            <w:r w:rsidR="00D11C6A">
              <w:rPr>
                <w:b/>
              </w:rPr>
              <w:t>s</w:t>
            </w:r>
          </w:p>
          <w:p w14:paraId="72B82DE2" w14:textId="77777777" w:rsidR="006969E9" w:rsidRDefault="006969E9" w:rsidP="00FC73FA">
            <w:pPr>
              <w:pStyle w:val="Table"/>
            </w:pPr>
            <w:r w:rsidRPr="005E76D2">
              <w:t>Obtain and attach PAYG payment summaries.</w:t>
            </w:r>
          </w:p>
          <w:p w14:paraId="2A5A4454" w14:textId="5B4C29AF" w:rsidR="00DB23EA" w:rsidRPr="005E76D2" w:rsidRDefault="00DB23EA" w:rsidP="00FC73FA">
            <w:pPr>
              <w:pStyle w:val="Table"/>
            </w:pPr>
            <w:r w:rsidRPr="006A628E">
              <w:rPr>
                <w:b/>
                <w:sz w:val="14"/>
                <w:szCs w:val="14"/>
              </w:rPr>
              <w:t>Note:</w:t>
            </w:r>
            <w:r w:rsidRPr="006A628E">
              <w:rPr>
                <w:sz w:val="14"/>
                <w:szCs w:val="14"/>
              </w:rPr>
              <w:t xml:space="preserve"> </w:t>
            </w:r>
            <w:r>
              <w:rPr>
                <w:sz w:val="14"/>
                <w:szCs w:val="14"/>
              </w:rPr>
              <w:t>check and</w:t>
            </w:r>
            <w:r w:rsidR="00BF34EA">
              <w:rPr>
                <w:sz w:val="14"/>
                <w:szCs w:val="14"/>
              </w:rPr>
              <w:t>,</w:t>
            </w:r>
            <w:r>
              <w:rPr>
                <w:sz w:val="14"/>
                <w:szCs w:val="14"/>
              </w:rPr>
              <w:t xml:space="preserve"> if necessary</w:t>
            </w:r>
            <w:r w:rsidR="00BF34EA">
              <w:rPr>
                <w:sz w:val="14"/>
                <w:szCs w:val="14"/>
              </w:rPr>
              <w:t>,</w:t>
            </w:r>
            <w:r>
              <w:rPr>
                <w:sz w:val="14"/>
                <w:szCs w:val="14"/>
              </w:rPr>
              <w:t xml:space="preserve"> update the client’s occupation code. </w:t>
            </w:r>
          </w:p>
        </w:tc>
        <w:tc>
          <w:tcPr>
            <w:tcW w:w="1051" w:type="dxa"/>
          </w:tcPr>
          <w:p w14:paraId="63FC13B8" w14:textId="77777777" w:rsidR="006969E9" w:rsidRPr="005E76D2" w:rsidRDefault="006969E9" w:rsidP="00FC1E35">
            <w:pPr>
              <w:pStyle w:val="Table"/>
              <w:jc w:val="center"/>
            </w:pPr>
          </w:p>
        </w:tc>
        <w:tc>
          <w:tcPr>
            <w:tcW w:w="1049" w:type="dxa"/>
          </w:tcPr>
          <w:p w14:paraId="588D6571" w14:textId="77777777" w:rsidR="006969E9" w:rsidRPr="005E76D2" w:rsidRDefault="006969E9" w:rsidP="00FC1E35">
            <w:pPr>
              <w:pStyle w:val="Table"/>
              <w:jc w:val="center"/>
            </w:pPr>
          </w:p>
        </w:tc>
        <w:tc>
          <w:tcPr>
            <w:tcW w:w="1208" w:type="dxa"/>
          </w:tcPr>
          <w:p w14:paraId="43797399" w14:textId="77777777" w:rsidR="006969E9" w:rsidRPr="005E76D2" w:rsidRDefault="006969E9" w:rsidP="00FC1E35">
            <w:pPr>
              <w:pStyle w:val="Table"/>
              <w:jc w:val="center"/>
            </w:pPr>
          </w:p>
        </w:tc>
      </w:tr>
      <w:tr w:rsidR="006969E9" w:rsidRPr="005E76D2" w14:paraId="369E3994" w14:textId="77777777" w:rsidTr="00F17C65">
        <w:tc>
          <w:tcPr>
            <w:tcW w:w="1242" w:type="dxa"/>
          </w:tcPr>
          <w:p w14:paraId="3533D613" w14:textId="77777777" w:rsidR="006969E9" w:rsidRPr="005E76D2" w:rsidRDefault="006969E9" w:rsidP="00FC73FA">
            <w:pPr>
              <w:pStyle w:val="Table"/>
            </w:pPr>
            <w:r w:rsidRPr="005E76D2">
              <w:t>2</w:t>
            </w:r>
          </w:p>
        </w:tc>
        <w:tc>
          <w:tcPr>
            <w:tcW w:w="5753" w:type="dxa"/>
          </w:tcPr>
          <w:p w14:paraId="20A86C06" w14:textId="77777777" w:rsidR="006969E9" w:rsidRPr="005E76D2" w:rsidRDefault="006969E9" w:rsidP="00FC73FA">
            <w:pPr>
              <w:pStyle w:val="Table"/>
              <w:rPr>
                <w:b/>
              </w:rPr>
            </w:pPr>
            <w:r w:rsidRPr="005E76D2">
              <w:rPr>
                <w:b/>
              </w:rPr>
              <w:t>Allowances, earnings, tips, director’s fees etc.</w:t>
            </w:r>
          </w:p>
          <w:p w14:paraId="7844E2D7" w14:textId="77777777" w:rsidR="006969E9" w:rsidRPr="005E76D2" w:rsidRDefault="006969E9" w:rsidP="00FC73FA">
            <w:pPr>
              <w:pStyle w:val="Table"/>
            </w:pPr>
            <w:r w:rsidRPr="005E76D2">
              <w:t>Receipt of an allowance does not automatically entitle an employee to a deduction for expenditure to which the allowance relates (e.g. tool</w:t>
            </w:r>
            <w:r w:rsidR="00D11C6A">
              <w:t xml:space="preserve"> or laundry</w:t>
            </w:r>
            <w:r w:rsidRPr="005E76D2">
              <w:t xml:space="preserve"> allowance).</w:t>
            </w:r>
          </w:p>
        </w:tc>
        <w:tc>
          <w:tcPr>
            <w:tcW w:w="1051" w:type="dxa"/>
          </w:tcPr>
          <w:p w14:paraId="05BF48F2" w14:textId="77777777" w:rsidR="006969E9" w:rsidRPr="005E76D2" w:rsidRDefault="006969E9" w:rsidP="00FC1E35">
            <w:pPr>
              <w:pStyle w:val="Table"/>
              <w:jc w:val="center"/>
            </w:pPr>
          </w:p>
        </w:tc>
        <w:tc>
          <w:tcPr>
            <w:tcW w:w="1049" w:type="dxa"/>
          </w:tcPr>
          <w:p w14:paraId="165E22B1" w14:textId="77777777" w:rsidR="006969E9" w:rsidRPr="005E76D2" w:rsidRDefault="006969E9" w:rsidP="00FC1E35">
            <w:pPr>
              <w:pStyle w:val="Table"/>
              <w:jc w:val="center"/>
            </w:pPr>
          </w:p>
        </w:tc>
        <w:tc>
          <w:tcPr>
            <w:tcW w:w="1208" w:type="dxa"/>
          </w:tcPr>
          <w:p w14:paraId="34658B50" w14:textId="77777777" w:rsidR="006969E9" w:rsidRPr="005E76D2" w:rsidRDefault="006969E9" w:rsidP="00FC1E35">
            <w:pPr>
              <w:pStyle w:val="Table"/>
              <w:jc w:val="center"/>
            </w:pPr>
          </w:p>
        </w:tc>
      </w:tr>
      <w:tr w:rsidR="006969E9" w:rsidRPr="005E76D2" w14:paraId="556DE4A9" w14:textId="77777777" w:rsidTr="00F17C65">
        <w:tc>
          <w:tcPr>
            <w:tcW w:w="1242" w:type="dxa"/>
          </w:tcPr>
          <w:p w14:paraId="6F13C179" w14:textId="77777777" w:rsidR="006969E9" w:rsidRPr="005E76D2" w:rsidRDefault="006969E9" w:rsidP="00FC73FA">
            <w:pPr>
              <w:pStyle w:val="Table"/>
            </w:pPr>
            <w:r w:rsidRPr="005E76D2">
              <w:t>3</w:t>
            </w:r>
          </w:p>
        </w:tc>
        <w:tc>
          <w:tcPr>
            <w:tcW w:w="5753" w:type="dxa"/>
          </w:tcPr>
          <w:p w14:paraId="63F22F93" w14:textId="77777777" w:rsidR="006969E9" w:rsidRPr="005E76D2" w:rsidRDefault="006969E9" w:rsidP="00FC73FA">
            <w:pPr>
              <w:pStyle w:val="Table"/>
              <w:rPr>
                <w:b/>
              </w:rPr>
            </w:pPr>
            <w:r w:rsidRPr="005E76D2">
              <w:rPr>
                <w:b/>
              </w:rPr>
              <w:t>Employer lump sum payments</w:t>
            </w:r>
          </w:p>
          <w:p w14:paraId="7A753C7E" w14:textId="77777777" w:rsidR="006969E9" w:rsidRDefault="006969E9" w:rsidP="00FC73FA">
            <w:pPr>
              <w:pStyle w:val="Table"/>
            </w:pPr>
            <w:r w:rsidRPr="005E76D2">
              <w:t xml:space="preserve">These </w:t>
            </w:r>
            <w:r w:rsidR="00B705C8">
              <w:t xml:space="preserve">lump sum </w:t>
            </w:r>
            <w:r w:rsidRPr="005E76D2">
              <w:t>payments are in respect of unused annual and long service leave paid out on termination of employment. Label A and B of the client’s PAYG payment summary should contain the relevant information. Also, obtain and attach a copy of a statement of termination from the client’s employer.</w:t>
            </w:r>
          </w:p>
          <w:p w14:paraId="5D17F48A" w14:textId="204A582F" w:rsidR="00BF3B2E" w:rsidRPr="005E76D2" w:rsidRDefault="00BF3B2E" w:rsidP="00FC73FA">
            <w:pPr>
              <w:pStyle w:val="Table"/>
            </w:pPr>
            <w:r w:rsidRPr="006A628E">
              <w:rPr>
                <w:b/>
                <w:sz w:val="14"/>
                <w:szCs w:val="14"/>
              </w:rPr>
              <w:t>Note:</w:t>
            </w:r>
            <w:r w:rsidRPr="006A628E">
              <w:rPr>
                <w:sz w:val="14"/>
                <w:szCs w:val="14"/>
              </w:rPr>
              <w:t xml:space="preserve"> </w:t>
            </w:r>
            <w:r>
              <w:rPr>
                <w:sz w:val="14"/>
                <w:szCs w:val="14"/>
              </w:rPr>
              <w:t xml:space="preserve">there is </w:t>
            </w:r>
            <w:r w:rsidR="00D94FFD">
              <w:rPr>
                <w:sz w:val="14"/>
                <w:szCs w:val="14"/>
              </w:rPr>
              <w:t xml:space="preserve">an offset capping tax at 30% on a </w:t>
            </w:r>
            <w:r>
              <w:rPr>
                <w:sz w:val="14"/>
                <w:szCs w:val="14"/>
              </w:rPr>
              <w:t xml:space="preserve">payment for unused annual leave </w:t>
            </w:r>
            <w:r w:rsidR="00D94FFD">
              <w:rPr>
                <w:sz w:val="14"/>
                <w:szCs w:val="14"/>
              </w:rPr>
              <w:t xml:space="preserve">or unused long service leave which </w:t>
            </w:r>
            <w:r>
              <w:rPr>
                <w:sz w:val="14"/>
                <w:szCs w:val="14"/>
              </w:rPr>
              <w:t xml:space="preserve">was made in connection with a genuine redundancy, invalidity or early retirement scheme. </w:t>
            </w:r>
          </w:p>
        </w:tc>
        <w:tc>
          <w:tcPr>
            <w:tcW w:w="1051" w:type="dxa"/>
          </w:tcPr>
          <w:p w14:paraId="7B0D3FAD" w14:textId="77777777" w:rsidR="006969E9" w:rsidRPr="005E76D2" w:rsidRDefault="006969E9" w:rsidP="00FC1E35">
            <w:pPr>
              <w:pStyle w:val="Table"/>
              <w:jc w:val="center"/>
            </w:pPr>
          </w:p>
        </w:tc>
        <w:tc>
          <w:tcPr>
            <w:tcW w:w="1049" w:type="dxa"/>
          </w:tcPr>
          <w:p w14:paraId="4650BF1E" w14:textId="77777777" w:rsidR="006969E9" w:rsidRPr="005E76D2" w:rsidRDefault="006969E9" w:rsidP="00FC1E35">
            <w:pPr>
              <w:pStyle w:val="Table"/>
              <w:jc w:val="center"/>
            </w:pPr>
          </w:p>
        </w:tc>
        <w:tc>
          <w:tcPr>
            <w:tcW w:w="1208" w:type="dxa"/>
          </w:tcPr>
          <w:p w14:paraId="22C0B1B3" w14:textId="77777777" w:rsidR="006969E9" w:rsidRPr="005E76D2" w:rsidRDefault="006969E9" w:rsidP="00FC1E35">
            <w:pPr>
              <w:pStyle w:val="Table"/>
              <w:jc w:val="center"/>
            </w:pPr>
          </w:p>
        </w:tc>
      </w:tr>
      <w:tr w:rsidR="006969E9" w:rsidRPr="005E76D2" w14:paraId="5F4B0451" w14:textId="77777777" w:rsidTr="00F17C65">
        <w:tc>
          <w:tcPr>
            <w:tcW w:w="1242" w:type="dxa"/>
          </w:tcPr>
          <w:p w14:paraId="73EA0FEB" w14:textId="77777777" w:rsidR="006969E9" w:rsidRPr="005E76D2" w:rsidRDefault="006969E9" w:rsidP="00FC73FA">
            <w:pPr>
              <w:pStyle w:val="Table"/>
            </w:pPr>
            <w:r w:rsidRPr="005E76D2">
              <w:t>4</w:t>
            </w:r>
          </w:p>
        </w:tc>
        <w:tc>
          <w:tcPr>
            <w:tcW w:w="5753" w:type="dxa"/>
          </w:tcPr>
          <w:p w14:paraId="7571931E" w14:textId="1E03E4CC" w:rsidR="006969E9" w:rsidRPr="005E76D2" w:rsidRDefault="006969E9" w:rsidP="00FC73FA">
            <w:pPr>
              <w:pStyle w:val="Table"/>
              <w:rPr>
                <w:b/>
              </w:rPr>
            </w:pPr>
            <w:r w:rsidRPr="005E76D2">
              <w:rPr>
                <w:b/>
              </w:rPr>
              <w:t>Employment termination payments (ETPs)</w:t>
            </w:r>
          </w:p>
          <w:p w14:paraId="2125E3B5" w14:textId="77777777" w:rsidR="006969E9" w:rsidRPr="005E76D2" w:rsidRDefault="006969E9" w:rsidP="00FC73FA">
            <w:pPr>
              <w:pStyle w:val="Table"/>
            </w:pPr>
            <w:r w:rsidRPr="005E76D2">
              <w:t>Obtain and attach any ETP payment summaries and employer termination statements.</w:t>
            </w:r>
          </w:p>
        </w:tc>
        <w:tc>
          <w:tcPr>
            <w:tcW w:w="1051" w:type="dxa"/>
          </w:tcPr>
          <w:p w14:paraId="459D4955" w14:textId="77777777" w:rsidR="006969E9" w:rsidRPr="005E76D2" w:rsidRDefault="006969E9" w:rsidP="00FC1E35">
            <w:pPr>
              <w:pStyle w:val="Table"/>
              <w:jc w:val="center"/>
            </w:pPr>
          </w:p>
        </w:tc>
        <w:tc>
          <w:tcPr>
            <w:tcW w:w="1049" w:type="dxa"/>
          </w:tcPr>
          <w:p w14:paraId="3E130CA8" w14:textId="77777777" w:rsidR="006969E9" w:rsidRPr="005E76D2" w:rsidRDefault="006969E9" w:rsidP="00FC1E35">
            <w:pPr>
              <w:pStyle w:val="Table"/>
              <w:jc w:val="center"/>
            </w:pPr>
          </w:p>
        </w:tc>
        <w:tc>
          <w:tcPr>
            <w:tcW w:w="1208" w:type="dxa"/>
          </w:tcPr>
          <w:p w14:paraId="7BD96D82" w14:textId="77777777" w:rsidR="006969E9" w:rsidRPr="005E76D2" w:rsidRDefault="006969E9" w:rsidP="00FC1E35">
            <w:pPr>
              <w:pStyle w:val="Table"/>
              <w:jc w:val="center"/>
            </w:pPr>
          </w:p>
        </w:tc>
      </w:tr>
      <w:tr w:rsidR="006969E9" w:rsidRPr="005E76D2" w14:paraId="213C91F7" w14:textId="77777777" w:rsidTr="00F17C65">
        <w:tc>
          <w:tcPr>
            <w:tcW w:w="1242" w:type="dxa"/>
          </w:tcPr>
          <w:p w14:paraId="5BF18D70" w14:textId="77777777" w:rsidR="006969E9" w:rsidRPr="005E76D2" w:rsidRDefault="006969E9" w:rsidP="00FC73FA">
            <w:pPr>
              <w:pStyle w:val="Table"/>
            </w:pPr>
            <w:r w:rsidRPr="005E76D2">
              <w:t>5</w:t>
            </w:r>
          </w:p>
        </w:tc>
        <w:tc>
          <w:tcPr>
            <w:tcW w:w="5753" w:type="dxa"/>
          </w:tcPr>
          <w:p w14:paraId="5CCBDEBF" w14:textId="77777777" w:rsidR="006969E9" w:rsidRPr="005E76D2" w:rsidRDefault="006969E9" w:rsidP="00FC73FA">
            <w:pPr>
              <w:pStyle w:val="Table"/>
              <w:rPr>
                <w:b/>
              </w:rPr>
            </w:pPr>
            <w:r w:rsidRPr="005E76D2">
              <w:rPr>
                <w:b/>
              </w:rPr>
              <w:t>Australian Government allowances and payments</w:t>
            </w:r>
            <w:r w:rsidR="00B3760F">
              <w:rPr>
                <w:b/>
              </w:rPr>
              <w:t xml:space="preserve"> like </w:t>
            </w:r>
            <w:proofErr w:type="spellStart"/>
            <w:r w:rsidR="00B3760F">
              <w:rPr>
                <w:b/>
              </w:rPr>
              <w:t>Newstart</w:t>
            </w:r>
            <w:proofErr w:type="spellEnd"/>
            <w:r w:rsidR="00B3760F">
              <w:rPr>
                <w:b/>
              </w:rPr>
              <w:t xml:space="preserve">, youth allowance and </w:t>
            </w:r>
            <w:proofErr w:type="spellStart"/>
            <w:r w:rsidR="00B3760F">
              <w:rPr>
                <w:b/>
              </w:rPr>
              <w:t>Austudy</w:t>
            </w:r>
            <w:proofErr w:type="spellEnd"/>
            <w:r w:rsidR="00B3760F">
              <w:rPr>
                <w:b/>
              </w:rPr>
              <w:t xml:space="preserve"> payment</w:t>
            </w:r>
            <w:r w:rsidRPr="005E76D2">
              <w:rPr>
                <w:b/>
              </w:rPr>
              <w:t xml:space="preserve"> </w:t>
            </w:r>
          </w:p>
          <w:p w14:paraId="142D3628" w14:textId="6CC63478" w:rsidR="006969E9" w:rsidRPr="005E76D2" w:rsidRDefault="00B705C8" w:rsidP="00B959FA">
            <w:pPr>
              <w:pStyle w:val="Table"/>
            </w:pPr>
            <w:r>
              <w:t>Obtain</w:t>
            </w:r>
            <w:r w:rsidR="006969E9" w:rsidRPr="005E76D2">
              <w:t xml:space="preserve"> details of</w:t>
            </w:r>
            <w:r>
              <w:t xml:space="preserve"> any</w:t>
            </w:r>
            <w:r w:rsidR="006969E9" w:rsidRPr="005E76D2">
              <w:t xml:space="preserve"> youth allowance, </w:t>
            </w:r>
            <w:proofErr w:type="spellStart"/>
            <w:r w:rsidR="006969E9" w:rsidRPr="005E76D2">
              <w:t>Newstart</w:t>
            </w:r>
            <w:proofErr w:type="spellEnd"/>
            <w:r>
              <w:t xml:space="preserve"> allowance</w:t>
            </w:r>
            <w:r w:rsidR="006969E9" w:rsidRPr="005E76D2">
              <w:t>, sickness allowance</w:t>
            </w:r>
            <w:r w:rsidR="00D11C6A">
              <w:t>,</w:t>
            </w:r>
            <w:r w:rsidR="006969E9" w:rsidRPr="005E76D2">
              <w:t xml:space="preserve"> special benefit,</w:t>
            </w:r>
            <w:r w:rsidR="00D11C6A">
              <w:t xml:space="preserve"> </w:t>
            </w:r>
            <w:r>
              <w:t xml:space="preserve">widow allowance, </w:t>
            </w:r>
            <w:r w:rsidR="00D94FFD">
              <w:t>partner allowance, parenting payment (partnered)</w:t>
            </w:r>
            <w:r w:rsidR="009948F4">
              <w:t>,</w:t>
            </w:r>
            <w:r w:rsidR="00D94FFD">
              <w:t xml:space="preserve"> </w:t>
            </w:r>
            <w:r>
              <w:t xml:space="preserve">farm household allowance, disaster recovery allowance, </w:t>
            </w:r>
            <w:proofErr w:type="spellStart"/>
            <w:r w:rsidR="00D11C6A">
              <w:t>Austudy</w:t>
            </w:r>
            <w:proofErr w:type="spellEnd"/>
            <w:r w:rsidR="00D11C6A">
              <w:t xml:space="preserve"> payment</w:t>
            </w:r>
            <w:r w:rsidR="006969E9" w:rsidRPr="005E76D2">
              <w:t xml:space="preserve"> or other educational or training allowances.</w:t>
            </w:r>
            <w:r>
              <w:t xml:space="preserve"> </w:t>
            </w:r>
          </w:p>
        </w:tc>
        <w:tc>
          <w:tcPr>
            <w:tcW w:w="1051" w:type="dxa"/>
          </w:tcPr>
          <w:p w14:paraId="25835E2C" w14:textId="77777777" w:rsidR="006969E9" w:rsidRPr="005E76D2" w:rsidRDefault="006969E9" w:rsidP="00FC1E35">
            <w:pPr>
              <w:pStyle w:val="Table"/>
              <w:jc w:val="center"/>
            </w:pPr>
          </w:p>
        </w:tc>
        <w:tc>
          <w:tcPr>
            <w:tcW w:w="1049" w:type="dxa"/>
          </w:tcPr>
          <w:p w14:paraId="3BC075F5" w14:textId="77777777" w:rsidR="006969E9" w:rsidRPr="005E76D2" w:rsidRDefault="006969E9" w:rsidP="00FC1E35">
            <w:pPr>
              <w:pStyle w:val="Table"/>
              <w:jc w:val="center"/>
            </w:pPr>
          </w:p>
        </w:tc>
        <w:tc>
          <w:tcPr>
            <w:tcW w:w="1208" w:type="dxa"/>
          </w:tcPr>
          <w:p w14:paraId="617A05C7" w14:textId="77777777" w:rsidR="006969E9" w:rsidRPr="005E76D2" w:rsidRDefault="006969E9" w:rsidP="00FC1E35">
            <w:pPr>
              <w:pStyle w:val="Table"/>
              <w:jc w:val="center"/>
            </w:pPr>
          </w:p>
        </w:tc>
      </w:tr>
      <w:tr w:rsidR="002272E9" w:rsidRPr="00540F80" w14:paraId="3F24517E" w14:textId="77777777" w:rsidTr="00106283">
        <w:trPr>
          <w:tblHeader/>
        </w:trPr>
        <w:tc>
          <w:tcPr>
            <w:tcW w:w="1242" w:type="dxa"/>
            <w:tcBorders>
              <w:bottom w:val="single" w:sz="4" w:space="0" w:color="939598"/>
            </w:tcBorders>
            <w:shd w:val="clear" w:color="auto" w:fill="051C3C"/>
          </w:tcPr>
          <w:p w14:paraId="24C7BFC7" w14:textId="77777777" w:rsidR="002272E9" w:rsidRPr="00540F80" w:rsidRDefault="002272E9" w:rsidP="00106283">
            <w:pPr>
              <w:pStyle w:val="Tableheading"/>
              <w:rPr>
                <w:color w:val="FFFFFF"/>
                <w:sz w:val="18"/>
              </w:rPr>
            </w:pPr>
            <w:r w:rsidRPr="00540F80">
              <w:rPr>
                <w:color w:val="FFFFFF"/>
                <w:sz w:val="18"/>
              </w:rPr>
              <w:lastRenderedPageBreak/>
              <w:t>Tax Return Reference</w:t>
            </w:r>
          </w:p>
        </w:tc>
        <w:tc>
          <w:tcPr>
            <w:tcW w:w="5753" w:type="dxa"/>
            <w:tcBorders>
              <w:bottom w:val="single" w:sz="4" w:space="0" w:color="939598"/>
            </w:tcBorders>
            <w:shd w:val="clear" w:color="auto" w:fill="051C3C"/>
          </w:tcPr>
          <w:p w14:paraId="1E14EACB" w14:textId="77777777" w:rsidR="002272E9" w:rsidRPr="00540F80" w:rsidRDefault="002272E9" w:rsidP="00106283">
            <w:pPr>
              <w:pStyle w:val="Tableheading"/>
              <w:rPr>
                <w:color w:val="FFFFFF"/>
                <w:sz w:val="18"/>
              </w:rPr>
            </w:pPr>
            <w:r w:rsidRPr="00540F80">
              <w:rPr>
                <w:color w:val="FFFFFF"/>
                <w:sz w:val="18"/>
              </w:rPr>
              <w:t>Section of the Income Tax Return</w:t>
            </w:r>
          </w:p>
        </w:tc>
        <w:tc>
          <w:tcPr>
            <w:tcW w:w="1051" w:type="dxa"/>
            <w:tcBorders>
              <w:bottom w:val="single" w:sz="4" w:space="0" w:color="939598"/>
            </w:tcBorders>
            <w:shd w:val="clear" w:color="auto" w:fill="051C3C"/>
          </w:tcPr>
          <w:p w14:paraId="23803BC0" w14:textId="77777777" w:rsidR="002272E9" w:rsidRPr="00540F80" w:rsidRDefault="002272E9" w:rsidP="00106283">
            <w:pPr>
              <w:pStyle w:val="Tableheading"/>
              <w:jc w:val="center"/>
              <w:rPr>
                <w:color w:val="FFFFFF"/>
                <w:sz w:val="18"/>
              </w:rPr>
            </w:pPr>
            <w:r w:rsidRPr="00540F80">
              <w:rPr>
                <w:color w:val="FFFFFF"/>
                <w:sz w:val="18"/>
              </w:rPr>
              <w:t>Column 1</w:t>
            </w:r>
            <w:r w:rsidRPr="00540F80">
              <w:rPr>
                <w:color w:val="FFFFFF"/>
                <w:sz w:val="18"/>
              </w:rPr>
              <w:br/>
              <w:t>(A) (S) (N/A)</w:t>
            </w:r>
          </w:p>
        </w:tc>
        <w:tc>
          <w:tcPr>
            <w:tcW w:w="1049" w:type="dxa"/>
            <w:tcBorders>
              <w:bottom w:val="single" w:sz="4" w:space="0" w:color="939598"/>
            </w:tcBorders>
            <w:shd w:val="clear" w:color="auto" w:fill="051C3C"/>
          </w:tcPr>
          <w:p w14:paraId="0980EB9A" w14:textId="77777777" w:rsidR="002272E9" w:rsidRPr="00540F80" w:rsidRDefault="002272E9" w:rsidP="00106283">
            <w:pPr>
              <w:pStyle w:val="Tableheading"/>
              <w:jc w:val="center"/>
              <w:rPr>
                <w:color w:val="FFFFFF"/>
                <w:sz w:val="18"/>
              </w:rPr>
            </w:pPr>
            <w:r w:rsidRPr="00540F80">
              <w:rPr>
                <w:color w:val="FFFFFF"/>
                <w:sz w:val="18"/>
              </w:rPr>
              <w:t>Column 2</w:t>
            </w:r>
            <w:r w:rsidRPr="00540F80">
              <w:rPr>
                <w:color w:val="FFFFFF"/>
                <w:sz w:val="18"/>
              </w:rPr>
              <w:br/>
              <w:t>WP</w:t>
            </w:r>
            <w:r>
              <w:rPr>
                <w:color w:val="FFFFFF"/>
                <w:sz w:val="18"/>
              </w:rPr>
              <w:br/>
            </w:r>
            <w:r w:rsidRPr="00540F80">
              <w:rPr>
                <w:color w:val="FFFFFF"/>
                <w:sz w:val="18"/>
              </w:rPr>
              <w:t>(Y or N)</w:t>
            </w:r>
          </w:p>
        </w:tc>
        <w:tc>
          <w:tcPr>
            <w:tcW w:w="1208" w:type="dxa"/>
            <w:tcBorders>
              <w:bottom w:val="single" w:sz="4" w:space="0" w:color="939598"/>
            </w:tcBorders>
            <w:shd w:val="clear" w:color="auto" w:fill="051C3C"/>
          </w:tcPr>
          <w:p w14:paraId="31DB24EC" w14:textId="77777777" w:rsidR="002272E9" w:rsidRPr="00540F80" w:rsidRDefault="002272E9" w:rsidP="00106283">
            <w:pPr>
              <w:pStyle w:val="Tableheading"/>
              <w:jc w:val="center"/>
              <w:rPr>
                <w:color w:val="FFFFFF"/>
                <w:sz w:val="18"/>
              </w:rPr>
            </w:pPr>
            <w:r w:rsidRPr="00540F80">
              <w:rPr>
                <w:color w:val="FFFFFF"/>
                <w:sz w:val="18"/>
              </w:rPr>
              <w:t>Column 3</w:t>
            </w:r>
            <w:r w:rsidRPr="00540F80">
              <w:rPr>
                <w:color w:val="FFFFFF"/>
                <w:sz w:val="18"/>
              </w:rPr>
              <w:br/>
              <w:t>Attachment</w:t>
            </w:r>
            <w:r w:rsidRPr="00540F80">
              <w:rPr>
                <w:color w:val="FFFFFF"/>
                <w:sz w:val="18"/>
              </w:rPr>
              <w:br/>
              <w:t>(Y or N)</w:t>
            </w:r>
          </w:p>
        </w:tc>
      </w:tr>
      <w:tr w:rsidR="002272E9" w:rsidRPr="005E76D2" w14:paraId="3BD5C63F" w14:textId="77777777" w:rsidTr="00106283">
        <w:tc>
          <w:tcPr>
            <w:tcW w:w="10303" w:type="dxa"/>
            <w:gridSpan w:val="5"/>
            <w:shd w:val="clear" w:color="auto" w:fill="D9D9D9" w:themeFill="background1" w:themeFillShade="D9"/>
            <w:vAlign w:val="center"/>
          </w:tcPr>
          <w:p w14:paraId="0BD314E8" w14:textId="659C5817" w:rsidR="002272E9" w:rsidRPr="005E76D2" w:rsidRDefault="002272E9" w:rsidP="002272E9">
            <w:pPr>
              <w:pStyle w:val="Table"/>
            </w:pPr>
            <w:r w:rsidRPr="002272E9">
              <w:rPr>
                <w:b/>
              </w:rPr>
              <w:t>Income</w:t>
            </w:r>
            <w:r w:rsidRPr="00540F80">
              <w:t xml:space="preserve"> </w:t>
            </w:r>
            <w:r w:rsidRPr="002272E9">
              <w:t>(continued)</w:t>
            </w:r>
          </w:p>
        </w:tc>
      </w:tr>
      <w:tr w:rsidR="002272E9" w:rsidRPr="005E76D2" w14:paraId="4489B7D1" w14:textId="77777777" w:rsidTr="00F17C65">
        <w:tc>
          <w:tcPr>
            <w:tcW w:w="1242" w:type="dxa"/>
          </w:tcPr>
          <w:p w14:paraId="2BB86F13" w14:textId="77777777" w:rsidR="002272E9" w:rsidRPr="005E76D2" w:rsidRDefault="002272E9" w:rsidP="002272E9">
            <w:pPr>
              <w:pStyle w:val="Table"/>
            </w:pPr>
            <w:r w:rsidRPr="005E76D2">
              <w:t>6</w:t>
            </w:r>
          </w:p>
        </w:tc>
        <w:tc>
          <w:tcPr>
            <w:tcW w:w="5753" w:type="dxa"/>
          </w:tcPr>
          <w:p w14:paraId="5D89E42C" w14:textId="44F04564" w:rsidR="002272E9" w:rsidRDefault="002272E9" w:rsidP="002272E9">
            <w:pPr>
              <w:pStyle w:val="Table"/>
              <w:rPr>
                <w:b/>
              </w:rPr>
            </w:pPr>
            <w:r w:rsidRPr="005E76D2">
              <w:rPr>
                <w:b/>
              </w:rPr>
              <w:t>Australian Government pensions and other allowances</w:t>
            </w:r>
          </w:p>
          <w:p w14:paraId="50A2EFEF" w14:textId="2658BBCA" w:rsidR="002272E9" w:rsidRPr="00BB7910" w:rsidRDefault="002272E9" w:rsidP="002272E9">
            <w:pPr>
              <w:pStyle w:val="Table"/>
            </w:pPr>
            <w:r w:rsidRPr="00BB7910">
              <w:t xml:space="preserve">Such pensions </w:t>
            </w:r>
            <w:r>
              <w:t>include the age pension, bereavement allowance, carer payment, disability support pension for those who have reached pension age, parenting payment (single), widow B pension, age service pension, income support supplement, certain defence force income support allowances, certain veteran’s affairs payments, invalidity service pension for those who have reached pension age and partner service pension.</w:t>
            </w:r>
          </w:p>
          <w:p w14:paraId="0E0355A3" w14:textId="34D478AE" w:rsidR="002272E9" w:rsidRPr="00BB7910" w:rsidRDefault="002272E9" w:rsidP="002272E9">
            <w:pPr>
              <w:pStyle w:val="Table"/>
              <w:rPr>
                <w:sz w:val="14"/>
                <w:szCs w:val="14"/>
              </w:rPr>
            </w:pPr>
            <w:r w:rsidRPr="00BB7910">
              <w:rPr>
                <w:b/>
                <w:sz w:val="14"/>
                <w:szCs w:val="14"/>
              </w:rPr>
              <w:t xml:space="preserve">Note: </w:t>
            </w:r>
            <w:r>
              <w:rPr>
                <w:sz w:val="14"/>
                <w:szCs w:val="14"/>
              </w:rPr>
              <w:t>d</w:t>
            </w:r>
            <w:r w:rsidRPr="00BB7910">
              <w:rPr>
                <w:sz w:val="14"/>
                <w:szCs w:val="14"/>
              </w:rPr>
              <w:t>o not include any Australian Government pensions or allowances that are not taxable</w:t>
            </w:r>
            <w:r>
              <w:rPr>
                <w:sz w:val="14"/>
                <w:szCs w:val="14"/>
              </w:rPr>
              <w:t xml:space="preserve"> as</w:t>
            </w:r>
            <w:r w:rsidRPr="00BB7910">
              <w:rPr>
                <w:sz w:val="14"/>
                <w:szCs w:val="14"/>
              </w:rPr>
              <w:t xml:space="preserve"> these are shown at item IT3 </w:t>
            </w:r>
            <w:r>
              <w:rPr>
                <w:sz w:val="14"/>
                <w:szCs w:val="14"/>
              </w:rPr>
              <w:t xml:space="preserve">under </w:t>
            </w:r>
            <w:r w:rsidRPr="00BB7910">
              <w:rPr>
                <w:sz w:val="14"/>
                <w:szCs w:val="14"/>
              </w:rPr>
              <w:t>Tax free government pensions</w:t>
            </w:r>
            <w:r>
              <w:rPr>
                <w:sz w:val="14"/>
                <w:szCs w:val="14"/>
              </w:rPr>
              <w:t>.</w:t>
            </w:r>
          </w:p>
        </w:tc>
        <w:tc>
          <w:tcPr>
            <w:tcW w:w="1051" w:type="dxa"/>
          </w:tcPr>
          <w:p w14:paraId="30F9060A" w14:textId="77777777" w:rsidR="002272E9" w:rsidRPr="005E76D2" w:rsidRDefault="002272E9" w:rsidP="002272E9">
            <w:pPr>
              <w:pStyle w:val="Table"/>
              <w:jc w:val="center"/>
            </w:pPr>
          </w:p>
        </w:tc>
        <w:tc>
          <w:tcPr>
            <w:tcW w:w="1049" w:type="dxa"/>
          </w:tcPr>
          <w:p w14:paraId="5C696D78" w14:textId="77777777" w:rsidR="002272E9" w:rsidRPr="005E76D2" w:rsidRDefault="002272E9" w:rsidP="002272E9">
            <w:pPr>
              <w:pStyle w:val="Table"/>
              <w:jc w:val="center"/>
            </w:pPr>
          </w:p>
        </w:tc>
        <w:tc>
          <w:tcPr>
            <w:tcW w:w="1208" w:type="dxa"/>
          </w:tcPr>
          <w:p w14:paraId="53998B81" w14:textId="77777777" w:rsidR="002272E9" w:rsidRPr="005E76D2" w:rsidRDefault="002272E9" w:rsidP="002272E9">
            <w:pPr>
              <w:pStyle w:val="Table"/>
              <w:jc w:val="center"/>
            </w:pPr>
          </w:p>
        </w:tc>
      </w:tr>
      <w:tr w:rsidR="002272E9" w:rsidRPr="005E76D2" w14:paraId="391A29CB" w14:textId="77777777" w:rsidTr="00F17C65">
        <w:tc>
          <w:tcPr>
            <w:tcW w:w="1242" w:type="dxa"/>
          </w:tcPr>
          <w:p w14:paraId="725DB29A" w14:textId="77777777" w:rsidR="002272E9" w:rsidRPr="005E76D2" w:rsidRDefault="002272E9" w:rsidP="002272E9">
            <w:pPr>
              <w:pStyle w:val="Table"/>
            </w:pPr>
            <w:r w:rsidRPr="005E76D2">
              <w:t>7</w:t>
            </w:r>
          </w:p>
        </w:tc>
        <w:tc>
          <w:tcPr>
            <w:tcW w:w="5753" w:type="dxa"/>
          </w:tcPr>
          <w:p w14:paraId="0F99AA72" w14:textId="77777777" w:rsidR="002272E9" w:rsidRPr="005E76D2" w:rsidRDefault="002272E9" w:rsidP="002272E9">
            <w:pPr>
              <w:pStyle w:val="Table"/>
              <w:rPr>
                <w:b/>
              </w:rPr>
            </w:pPr>
            <w:r w:rsidRPr="005E76D2">
              <w:rPr>
                <w:b/>
              </w:rPr>
              <w:t>Australian annuities and superannuation income streams</w:t>
            </w:r>
          </w:p>
          <w:p w14:paraId="152C8B7E" w14:textId="77777777" w:rsidR="002272E9" w:rsidRPr="005E76D2" w:rsidRDefault="002272E9" w:rsidP="002272E9">
            <w:pPr>
              <w:pStyle w:val="Table"/>
            </w:pPr>
            <w:r w:rsidRPr="005E76D2">
              <w:t xml:space="preserve">Obtain details of taxable and </w:t>
            </w:r>
            <w:proofErr w:type="spellStart"/>
            <w:r w:rsidRPr="005E76D2">
              <w:t>rebatable</w:t>
            </w:r>
            <w:proofErr w:type="spellEnd"/>
            <w:r w:rsidRPr="005E76D2">
              <w:t xml:space="preserve"> components of pension.</w:t>
            </w:r>
          </w:p>
        </w:tc>
        <w:tc>
          <w:tcPr>
            <w:tcW w:w="1051" w:type="dxa"/>
          </w:tcPr>
          <w:p w14:paraId="68F01D77" w14:textId="77777777" w:rsidR="002272E9" w:rsidRPr="005E76D2" w:rsidRDefault="002272E9" w:rsidP="002272E9">
            <w:pPr>
              <w:pStyle w:val="Table"/>
              <w:jc w:val="center"/>
            </w:pPr>
          </w:p>
        </w:tc>
        <w:tc>
          <w:tcPr>
            <w:tcW w:w="1049" w:type="dxa"/>
          </w:tcPr>
          <w:p w14:paraId="5EA73D03" w14:textId="77777777" w:rsidR="002272E9" w:rsidRPr="005E76D2" w:rsidRDefault="002272E9" w:rsidP="002272E9">
            <w:pPr>
              <w:pStyle w:val="Table"/>
              <w:jc w:val="center"/>
            </w:pPr>
          </w:p>
        </w:tc>
        <w:tc>
          <w:tcPr>
            <w:tcW w:w="1208" w:type="dxa"/>
          </w:tcPr>
          <w:p w14:paraId="50DC93AD" w14:textId="77777777" w:rsidR="002272E9" w:rsidRPr="005E76D2" w:rsidRDefault="002272E9" w:rsidP="002272E9">
            <w:pPr>
              <w:pStyle w:val="Table"/>
              <w:jc w:val="center"/>
            </w:pPr>
          </w:p>
        </w:tc>
      </w:tr>
      <w:tr w:rsidR="002272E9" w:rsidRPr="005E76D2" w14:paraId="6B02D385" w14:textId="77777777" w:rsidTr="00F17C65">
        <w:tc>
          <w:tcPr>
            <w:tcW w:w="1242" w:type="dxa"/>
          </w:tcPr>
          <w:p w14:paraId="2E15CEDC" w14:textId="77777777" w:rsidR="002272E9" w:rsidRPr="005E76D2" w:rsidRDefault="002272E9" w:rsidP="002272E9">
            <w:pPr>
              <w:pStyle w:val="Table"/>
            </w:pPr>
            <w:r w:rsidRPr="005E76D2">
              <w:t>8</w:t>
            </w:r>
          </w:p>
        </w:tc>
        <w:tc>
          <w:tcPr>
            <w:tcW w:w="5753" w:type="dxa"/>
          </w:tcPr>
          <w:p w14:paraId="15AD9FBF" w14:textId="77777777" w:rsidR="002272E9" w:rsidRPr="005E76D2" w:rsidRDefault="002272E9" w:rsidP="002272E9">
            <w:pPr>
              <w:pStyle w:val="Table"/>
              <w:rPr>
                <w:b/>
              </w:rPr>
            </w:pPr>
            <w:r w:rsidRPr="005E76D2">
              <w:rPr>
                <w:b/>
              </w:rPr>
              <w:t>Australian superannuation lump sum payments</w:t>
            </w:r>
          </w:p>
          <w:p w14:paraId="40D6235A" w14:textId="571315E2" w:rsidR="002272E9" w:rsidRPr="005E76D2" w:rsidRDefault="002272E9" w:rsidP="002272E9">
            <w:pPr>
              <w:pStyle w:val="Table"/>
            </w:pPr>
            <w:r w:rsidRPr="005E76D2">
              <w:t>Superannuation lump sums paid from a taxed source to a person aged 60 or over are tax free. Lump sums paid to persons under 60 are still taxable.</w:t>
            </w:r>
          </w:p>
          <w:p w14:paraId="7216F9AD" w14:textId="77777777" w:rsidR="002272E9" w:rsidRPr="005E76D2" w:rsidRDefault="002272E9" w:rsidP="002272E9">
            <w:pPr>
              <w:pStyle w:val="Table"/>
            </w:pPr>
            <w:r w:rsidRPr="005E76D2">
              <w:t>Obtain details of recipient’s age and amount of the lump sum payment.</w:t>
            </w:r>
          </w:p>
        </w:tc>
        <w:tc>
          <w:tcPr>
            <w:tcW w:w="1051" w:type="dxa"/>
          </w:tcPr>
          <w:p w14:paraId="767554B6" w14:textId="77777777" w:rsidR="002272E9" w:rsidRPr="005E76D2" w:rsidRDefault="002272E9" w:rsidP="002272E9">
            <w:pPr>
              <w:pStyle w:val="Table"/>
              <w:jc w:val="center"/>
            </w:pPr>
          </w:p>
        </w:tc>
        <w:tc>
          <w:tcPr>
            <w:tcW w:w="1049" w:type="dxa"/>
          </w:tcPr>
          <w:p w14:paraId="0E3FB57E" w14:textId="77777777" w:rsidR="002272E9" w:rsidRPr="005E76D2" w:rsidRDefault="002272E9" w:rsidP="002272E9">
            <w:pPr>
              <w:pStyle w:val="Table"/>
              <w:jc w:val="center"/>
            </w:pPr>
          </w:p>
        </w:tc>
        <w:tc>
          <w:tcPr>
            <w:tcW w:w="1208" w:type="dxa"/>
          </w:tcPr>
          <w:p w14:paraId="3D22617D" w14:textId="77777777" w:rsidR="002272E9" w:rsidRPr="005E76D2" w:rsidRDefault="002272E9" w:rsidP="002272E9">
            <w:pPr>
              <w:pStyle w:val="Table"/>
              <w:jc w:val="center"/>
            </w:pPr>
          </w:p>
        </w:tc>
      </w:tr>
      <w:tr w:rsidR="002272E9" w:rsidRPr="005E76D2" w14:paraId="0DB9E144" w14:textId="77777777" w:rsidTr="00F17C65">
        <w:tc>
          <w:tcPr>
            <w:tcW w:w="1242" w:type="dxa"/>
          </w:tcPr>
          <w:p w14:paraId="667990B9" w14:textId="77777777" w:rsidR="002272E9" w:rsidRPr="005E76D2" w:rsidRDefault="002272E9" w:rsidP="002272E9">
            <w:pPr>
              <w:pStyle w:val="Table"/>
              <w:keepNext/>
            </w:pPr>
            <w:r w:rsidRPr="005E76D2">
              <w:t>9</w:t>
            </w:r>
          </w:p>
        </w:tc>
        <w:tc>
          <w:tcPr>
            <w:tcW w:w="5753" w:type="dxa"/>
          </w:tcPr>
          <w:p w14:paraId="60B1E957" w14:textId="77777777" w:rsidR="002272E9" w:rsidRPr="005E76D2" w:rsidRDefault="002272E9" w:rsidP="002272E9">
            <w:pPr>
              <w:pStyle w:val="Table"/>
              <w:keepNext/>
              <w:rPr>
                <w:b/>
              </w:rPr>
            </w:pPr>
            <w:r w:rsidRPr="005E76D2">
              <w:rPr>
                <w:b/>
              </w:rPr>
              <w:t>Attributed personal services income</w:t>
            </w:r>
          </w:p>
          <w:p w14:paraId="24518A2B" w14:textId="77777777" w:rsidR="002272E9" w:rsidRPr="005E76D2" w:rsidRDefault="002272E9" w:rsidP="002272E9">
            <w:pPr>
              <w:pStyle w:val="Table"/>
              <w:keepNext/>
            </w:pPr>
            <w:r w:rsidRPr="005E76D2">
              <w:t xml:space="preserve">Obtain all payment summaries – </w:t>
            </w:r>
            <w:r>
              <w:t xml:space="preserve">include </w:t>
            </w:r>
            <w:r w:rsidRPr="005E76D2">
              <w:t>personal services attributed income and details of any other personal services attributed to the taxpayer.</w:t>
            </w:r>
          </w:p>
          <w:p w14:paraId="672E6C1C" w14:textId="48337B8B" w:rsidR="002272E9" w:rsidRPr="00C108A5" w:rsidRDefault="002272E9" w:rsidP="002272E9">
            <w:pPr>
              <w:pStyle w:val="Source"/>
              <w:keepNext/>
              <w:tabs>
                <w:tab w:val="clear" w:pos="368"/>
                <w:tab w:val="left" w:pos="601"/>
              </w:tabs>
              <w:spacing w:after="60"/>
              <w:ind w:left="0" w:right="0" w:firstLine="0"/>
              <w:rPr>
                <w:sz w:val="14"/>
                <w:szCs w:val="14"/>
              </w:rPr>
            </w:pPr>
            <w:r w:rsidRPr="00C108A5">
              <w:rPr>
                <w:b/>
                <w:sz w:val="14"/>
                <w:szCs w:val="14"/>
              </w:rPr>
              <w:t>Note</w:t>
            </w:r>
            <w:r w:rsidRPr="00C108A5">
              <w:rPr>
                <w:sz w:val="14"/>
                <w:szCs w:val="14"/>
              </w:rPr>
              <w:t xml:space="preserve">: consider application of the personal services income (PSI) attribution rules in relation to any income derived by an interposed entity that is personal services income (PSI) of the individual. (PSI is included in the individual’s personal income tax return. PSI is income that is mainly a reward for an individual’s personal efforts or skills) Please refer to CPA Australia’s </w:t>
            </w:r>
            <w:hyperlink r:id="rId12" w:history="1">
              <w:r w:rsidRPr="0031122F">
                <w:rPr>
                  <w:rStyle w:val="Hyperlink"/>
                  <w:sz w:val="14"/>
                  <w:szCs w:val="14"/>
                </w:rPr>
                <w:t>2017 PSI/PSB self-assessment checklist</w:t>
              </w:r>
            </w:hyperlink>
            <w:r w:rsidRPr="00C108A5">
              <w:rPr>
                <w:sz w:val="14"/>
                <w:szCs w:val="14"/>
              </w:rPr>
              <w:t xml:space="preserve"> for further </w:t>
            </w:r>
            <w:r>
              <w:rPr>
                <w:sz w:val="14"/>
                <w:szCs w:val="14"/>
              </w:rPr>
              <w:t>guidance</w:t>
            </w:r>
            <w:r w:rsidRPr="00C108A5">
              <w:rPr>
                <w:sz w:val="14"/>
                <w:szCs w:val="14"/>
              </w:rPr>
              <w:t>.</w:t>
            </w:r>
          </w:p>
        </w:tc>
        <w:tc>
          <w:tcPr>
            <w:tcW w:w="1051" w:type="dxa"/>
          </w:tcPr>
          <w:p w14:paraId="7AF65BDD" w14:textId="77777777" w:rsidR="002272E9" w:rsidRPr="005E76D2" w:rsidRDefault="002272E9" w:rsidP="002272E9">
            <w:pPr>
              <w:pStyle w:val="Table"/>
              <w:keepNext/>
              <w:jc w:val="center"/>
            </w:pPr>
          </w:p>
        </w:tc>
        <w:tc>
          <w:tcPr>
            <w:tcW w:w="1049" w:type="dxa"/>
          </w:tcPr>
          <w:p w14:paraId="582F2A7D" w14:textId="77777777" w:rsidR="002272E9" w:rsidRPr="005E76D2" w:rsidRDefault="002272E9" w:rsidP="002272E9">
            <w:pPr>
              <w:pStyle w:val="Table"/>
              <w:keepNext/>
              <w:jc w:val="center"/>
            </w:pPr>
          </w:p>
        </w:tc>
        <w:tc>
          <w:tcPr>
            <w:tcW w:w="1208" w:type="dxa"/>
          </w:tcPr>
          <w:p w14:paraId="247DEB55" w14:textId="77777777" w:rsidR="002272E9" w:rsidRPr="005E76D2" w:rsidRDefault="002272E9" w:rsidP="002272E9">
            <w:pPr>
              <w:pStyle w:val="Table"/>
              <w:keepNext/>
              <w:jc w:val="center"/>
            </w:pPr>
          </w:p>
        </w:tc>
      </w:tr>
      <w:tr w:rsidR="002272E9" w:rsidRPr="005E76D2" w14:paraId="254DB57F" w14:textId="77777777" w:rsidTr="00F17C65">
        <w:tc>
          <w:tcPr>
            <w:tcW w:w="1242" w:type="dxa"/>
          </w:tcPr>
          <w:p w14:paraId="2F03A8D3" w14:textId="77777777" w:rsidR="002272E9" w:rsidRPr="005E76D2" w:rsidRDefault="002272E9" w:rsidP="002272E9">
            <w:pPr>
              <w:pStyle w:val="Table"/>
            </w:pPr>
            <w:r w:rsidRPr="005E76D2">
              <w:t>10</w:t>
            </w:r>
          </w:p>
        </w:tc>
        <w:tc>
          <w:tcPr>
            <w:tcW w:w="5753" w:type="dxa"/>
          </w:tcPr>
          <w:p w14:paraId="3A706631" w14:textId="77777777" w:rsidR="002272E9" w:rsidRPr="005E76D2" w:rsidRDefault="002272E9" w:rsidP="002272E9">
            <w:pPr>
              <w:pStyle w:val="Table"/>
              <w:rPr>
                <w:b/>
              </w:rPr>
            </w:pPr>
            <w:r w:rsidRPr="005E76D2">
              <w:rPr>
                <w:b/>
              </w:rPr>
              <w:t>Gross interest</w:t>
            </w:r>
          </w:p>
          <w:p w14:paraId="59A3D6D7" w14:textId="133E6A03" w:rsidR="002272E9" w:rsidRDefault="002272E9" w:rsidP="002272E9">
            <w:pPr>
              <w:pStyle w:val="Table"/>
            </w:pPr>
            <w:r>
              <w:t>Obtain bank statements to ensure that any i</w:t>
            </w:r>
            <w:r w:rsidRPr="005E76D2">
              <w:t>nterest received or credited i</w:t>
            </w:r>
            <w:r>
              <w:t>s included in</w:t>
            </w:r>
            <w:r w:rsidRPr="005E76D2">
              <w:t xml:space="preserve"> </w:t>
            </w:r>
            <w:r>
              <w:t xml:space="preserve">assessable income. This includes any ATO interest received. </w:t>
            </w:r>
            <w:r w:rsidRPr="005E76D2">
              <w:t>Care should be taken to gross interest up where TFN withholding tax has been deducted.</w:t>
            </w:r>
          </w:p>
          <w:p w14:paraId="1573F8B7" w14:textId="25A8D3ED" w:rsidR="002272E9" w:rsidRDefault="002272E9" w:rsidP="002272E9">
            <w:pPr>
              <w:pStyle w:val="Table"/>
              <w:rPr>
                <w:sz w:val="14"/>
                <w:szCs w:val="14"/>
              </w:rPr>
            </w:pPr>
            <w:r w:rsidRPr="006A628E">
              <w:rPr>
                <w:b/>
                <w:sz w:val="14"/>
                <w:szCs w:val="14"/>
              </w:rPr>
              <w:t>Note:</w:t>
            </w:r>
            <w:r w:rsidRPr="006A628E">
              <w:rPr>
                <w:sz w:val="14"/>
                <w:szCs w:val="14"/>
              </w:rPr>
              <w:t xml:space="preserve"> </w:t>
            </w:r>
            <w:r>
              <w:rPr>
                <w:sz w:val="14"/>
                <w:szCs w:val="14"/>
              </w:rPr>
              <w:t>if the client is an early lodger (lodging a return before pre-fill data is available in August) conduct extra checks to ensure the interest income is correct.</w:t>
            </w:r>
          </w:p>
          <w:p w14:paraId="050D40D8" w14:textId="2CEA691D" w:rsidR="002272E9" w:rsidRPr="00371D61" w:rsidRDefault="002272E9" w:rsidP="002272E9">
            <w:pPr>
              <w:pStyle w:val="Table"/>
            </w:pPr>
            <w:r w:rsidRPr="00BB7910">
              <w:rPr>
                <w:b/>
                <w:sz w:val="14"/>
                <w:szCs w:val="14"/>
              </w:rPr>
              <w:t>Note:</w:t>
            </w:r>
            <w:r>
              <w:rPr>
                <w:b/>
                <w:sz w:val="14"/>
                <w:szCs w:val="14"/>
              </w:rPr>
              <w:t xml:space="preserve"> </w:t>
            </w:r>
            <w:r>
              <w:rPr>
                <w:sz w:val="14"/>
                <w:szCs w:val="14"/>
              </w:rPr>
              <w:t>interest received from a foreign source should be included at Item 20 as an amount of foreign income.</w:t>
            </w:r>
          </w:p>
        </w:tc>
        <w:tc>
          <w:tcPr>
            <w:tcW w:w="1051" w:type="dxa"/>
          </w:tcPr>
          <w:p w14:paraId="687D462E" w14:textId="77777777" w:rsidR="002272E9" w:rsidRPr="005E76D2" w:rsidRDefault="002272E9" w:rsidP="002272E9">
            <w:pPr>
              <w:pStyle w:val="Table"/>
              <w:jc w:val="center"/>
            </w:pPr>
          </w:p>
        </w:tc>
        <w:tc>
          <w:tcPr>
            <w:tcW w:w="1049" w:type="dxa"/>
          </w:tcPr>
          <w:p w14:paraId="28FA36E4" w14:textId="77777777" w:rsidR="002272E9" w:rsidRPr="005E76D2" w:rsidRDefault="002272E9" w:rsidP="002272E9">
            <w:pPr>
              <w:pStyle w:val="Table"/>
              <w:jc w:val="center"/>
            </w:pPr>
          </w:p>
        </w:tc>
        <w:tc>
          <w:tcPr>
            <w:tcW w:w="1208" w:type="dxa"/>
          </w:tcPr>
          <w:p w14:paraId="22189D0D" w14:textId="77777777" w:rsidR="002272E9" w:rsidRPr="005E76D2" w:rsidRDefault="002272E9" w:rsidP="002272E9">
            <w:pPr>
              <w:pStyle w:val="Table"/>
              <w:jc w:val="center"/>
            </w:pPr>
          </w:p>
        </w:tc>
      </w:tr>
      <w:tr w:rsidR="002272E9" w:rsidRPr="005E76D2" w14:paraId="03EF6285" w14:textId="77777777" w:rsidTr="00F17C65">
        <w:tc>
          <w:tcPr>
            <w:tcW w:w="1242" w:type="dxa"/>
          </w:tcPr>
          <w:p w14:paraId="31387E56" w14:textId="77777777" w:rsidR="002272E9" w:rsidRPr="005E76D2" w:rsidRDefault="002272E9" w:rsidP="002272E9">
            <w:pPr>
              <w:pStyle w:val="Table"/>
            </w:pPr>
            <w:r w:rsidRPr="005E76D2">
              <w:t>11</w:t>
            </w:r>
          </w:p>
        </w:tc>
        <w:tc>
          <w:tcPr>
            <w:tcW w:w="5753" w:type="dxa"/>
          </w:tcPr>
          <w:p w14:paraId="5F5381BB" w14:textId="77777777" w:rsidR="002272E9" w:rsidRPr="005E76D2" w:rsidRDefault="002272E9" w:rsidP="002272E9">
            <w:pPr>
              <w:pStyle w:val="Table"/>
              <w:rPr>
                <w:b/>
              </w:rPr>
            </w:pPr>
            <w:r w:rsidRPr="005E76D2">
              <w:rPr>
                <w:b/>
              </w:rPr>
              <w:t>Dividends</w:t>
            </w:r>
          </w:p>
          <w:p w14:paraId="24CB6863" w14:textId="2DD3C3F2" w:rsidR="002272E9" w:rsidRDefault="002272E9" w:rsidP="002272E9">
            <w:pPr>
              <w:pStyle w:val="Table"/>
            </w:pPr>
            <w:r>
              <w:t>Obtain dividend statements for any u</w:t>
            </w:r>
            <w:r w:rsidRPr="005E76D2">
              <w:t xml:space="preserve">nfranked, partly franked and fully franked dividends </w:t>
            </w:r>
            <w:r>
              <w:t xml:space="preserve">received from Australian resident companies or identify any deemed dividends arising under Division 7A. </w:t>
            </w:r>
            <w:r w:rsidRPr="005E76D2">
              <w:t>Care should be taken to gross interest up where TFN withholding tax has been deducted.</w:t>
            </w:r>
            <w:r>
              <w:t xml:space="preserve"> Amount of any franking credit received on any dividend should also be included in assessable income.</w:t>
            </w:r>
          </w:p>
          <w:p w14:paraId="08800768" w14:textId="3010E758" w:rsidR="002272E9" w:rsidRDefault="002272E9" w:rsidP="002272E9">
            <w:pPr>
              <w:pStyle w:val="Table"/>
              <w:rPr>
                <w:sz w:val="14"/>
                <w:szCs w:val="14"/>
              </w:rPr>
            </w:pPr>
            <w:r>
              <w:rPr>
                <w:b/>
                <w:sz w:val="14"/>
                <w:szCs w:val="14"/>
              </w:rPr>
              <w:t>Note</w:t>
            </w:r>
            <w:r w:rsidRPr="00C108A5">
              <w:rPr>
                <w:b/>
                <w:sz w:val="14"/>
                <w:szCs w:val="14"/>
              </w:rPr>
              <w:t>:</w:t>
            </w:r>
            <w:r w:rsidRPr="00C108A5">
              <w:rPr>
                <w:sz w:val="14"/>
                <w:szCs w:val="14"/>
              </w:rPr>
              <w:t xml:space="preserve"> where a reinvestment program has been entered into, the value of that dividend reinvestment is taxable. Carefully consider the taxation implications of bonus share issues to individuals.</w:t>
            </w:r>
          </w:p>
          <w:p w14:paraId="5289ECB0" w14:textId="7DAACD0B" w:rsidR="002272E9" w:rsidRDefault="002272E9" w:rsidP="002272E9">
            <w:pPr>
              <w:pStyle w:val="Table"/>
              <w:rPr>
                <w:sz w:val="14"/>
                <w:szCs w:val="14"/>
              </w:rPr>
            </w:pPr>
            <w:r w:rsidRPr="006A628E">
              <w:rPr>
                <w:b/>
                <w:sz w:val="14"/>
                <w:szCs w:val="14"/>
              </w:rPr>
              <w:t>Note:</w:t>
            </w:r>
            <w:r w:rsidRPr="006A628E">
              <w:rPr>
                <w:sz w:val="14"/>
                <w:szCs w:val="14"/>
              </w:rPr>
              <w:t xml:space="preserve"> </w:t>
            </w:r>
            <w:r>
              <w:rPr>
                <w:sz w:val="14"/>
                <w:szCs w:val="14"/>
              </w:rPr>
              <w:t xml:space="preserve">if </w:t>
            </w:r>
            <w:r w:rsidR="0093493A">
              <w:rPr>
                <w:sz w:val="14"/>
                <w:szCs w:val="14"/>
              </w:rPr>
              <w:t xml:space="preserve">the </w:t>
            </w:r>
            <w:r>
              <w:rPr>
                <w:sz w:val="14"/>
                <w:szCs w:val="14"/>
              </w:rPr>
              <w:t xml:space="preserve">client is an early lodger (lodging </w:t>
            </w:r>
            <w:r w:rsidR="0093493A">
              <w:rPr>
                <w:sz w:val="14"/>
                <w:szCs w:val="14"/>
              </w:rPr>
              <w:t xml:space="preserve">a </w:t>
            </w:r>
            <w:r>
              <w:rPr>
                <w:sz w:val="14"/>
                <w:szCs w:val="14"/>
              </w:rPr>
              <w:t>return before pre-fill data is available in August) conduct extra checks to ensure the dividend income is correct.</w:t>
            </w:r>
          </w:p>
          <w:p w14:paraId="4AE48754" w14:textId="6B82A218" w:rsidR="002272E9" w:rsidRPr="00C108A5" w:rsidRDefault="002272E9" w:rsidP="002272E9">
            <w:pPr>
              <w:pStyle w:val="Table"/>
              <w:rPr>
                <w:sz w:val="14"/>
                <w:szCs w:val="14"/>
              </w:rPr>
            </w:pPr>
            <w:r w:rsidRPr="006F1C5C">
              <w:rPr>
                <w:b/>
                <w:sz w:val="14"/>
                <w:szCs w:val="14"/>
              </w:rPr>
              <w:t>Note:</w:t>
            </w:r>
            <w:r>
              <w:rPr>
                <w:b/>
                <w:sz w:val="14"/>
                <w:szCs w:val="14"/>
              </w:rPr>
              <w:t xml:space="preserve"> </w:t>
            </w:r>
            <w:r>
              <w:rPr>
                <w:sz w:val="14"/>
                <w:szCs w:val="14"/>
              </w:rPr>
              <w:t>dividends received from a foreign source should be included at Item 20 as an amount of foreign income.</w:t>
            </w:r>
          </w:p>
        </w:tc>
        <w:tc>
          <w:tcPr>
            <w:tcW w:w="1051" w:type="dxa"/>
          </w:tcPr>
          <w:p w14:paraId="3C288F5C" w14:textId="77777777" w:rsidR="002272E9" w:rsidRPr="005E76D2" w:rsidRDefault="002272E9" w:rsidP="002272E9">
            <w:pPr>
              <w:pStyle w:val="Table"/>
              <w:jc w:val="center"/>
            </w:pPr>
          </w:p>
        </w:tc>
        <w:tc>
          <w:tcPr>
            <w:tcW w:w="1049" w:type="dxa"/>
          </w:tcPr>
          <w:p w14:paraId="7B10A132" w14:textId="77777777" w:rsidR="002272E9" w:rsidRPr="005E76D2" w:rsidRDefault="002272E9" w:rsidP="002272E9">
            <w:pPr>
              <w:pStyle w:val="Table"/>
              <w:jc w:val="center"/>
            </w:pPr>
          </w:p>
        </w:tc>
        <w:tc>
          <w:tcPr>
            <w:tcW w:w="1208" w:type="dxa"/>
          </w:tcPr>
          <w:p w14:paraId="48050721" w14:textId="77777777" w:rsidR="002272E9" w:rsidRPr="005E76D2" w:rsidRDefault="002272E9" w:rsidP="002272E9">
            <w:pPr>
              <w:pStyle w:val="Table"/>
              <w:jc w:val="center"/>
            </w:pPr>
          </w:p>
        </w:tc>
      </w:tr>
    </w:tbl>
    <w:p w14:paraId="3E04036D" w14:textId="77777777" w:rsidR="003D6DC8" w:rsidRDefault="003D6DC8">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7C1E00" w:rsidRPr="005E76D2" w14:paraId="1489A92A" w14:textId="77777777" w:rsidTr="00106283">
        <w:tc>
          <w:tcPr>
            <w:tcW w:w="1242" w:type="dxa"/>
            <w:tcBorders>
              <w:bottom w:val="single" w:sz="4" w:space="0" w:color="939598"/>
            </w:tcBorders>
            <w:shd w:val="clear" w:color="auto" w:fill="051C3C"/>
          </w:tcPr>
          <w:p w14:paraId="58CB2FB0" w14:textId="4BDED0FB" w:rsidR="007C1E00" w:rsidRPr="003D6DC8" w:rsidRDefault="007C1E00" w:rsidP="007C1E00">
            <w:pPr>
              <w:pStyle w:val="Table"/>
              <w:rPr>
                <w:b/>
              </w:rPr>
            </w:pPr>
            <w:r w:rsidRPr="003D6DC8">
              <w:rPr>
                <w:b/>
                <w:color w:val="FFFFFF"/>
                <w:sz w:val="18"/>
              </w:rPr>
              <w:lastRenderedPageBreak/>
              <w:t>Tax Return Reference</w:t>
            </w:r>
          </w:p>
        </w:tc>
        <w:tc>
          <w:tcPr>
            <w:tcW w:w="5753" w:type="dxa"/>
            <w:tcBorders>
              <w:bottom w:val="single" w:sz="4" w:space="0" w:color="939598"/>
            </w:tcBorders>
            <w:shd w:val="clear" w:color="auto" w:fill="051C3C"/>
          </w:tcPr>
          <w:p w14:paraId="5396DE66" w14:textId="45624FF9" w:rsidR="007C1E00" w:rsidRPr="003D6DC8" w:rsidRDefault="007C1E00" w:rsidP="007C1E00">
            <w:pPr>
              <w:pStyle w:val="Source"/>
              <w:tabs>
                <w:tab w:val="clear" w:pos="368"/>
                <w:tab w:val="left" w:pos="601"/>
              </w:tabs>
              <w:spacing w:after="60"/>
              <w:ind w:left="0" w:right="0" w:firstLine="0"/>
              <w:rPr>
                <w:b/>
                <w:sz w:val="14"/>
                <w:szCs w:val="14"/>
              </w:rPr>
            </w:pPr>
            <w:r w:rsidRPr="003D6DC8">
              <w:rPr>
                <w:b/>
                <w:color w:val="FFFFFF"/>
                <w:sz w:val="18"/>
              </w:rPr>
              <w:t>Section of the Income Tax Return</w:t>
            </w:r>
          </w:p>
        </w:tc>
        <w:tc>
          <w:tcPr>
            <w:tcW w:w="1051" w:type="dxa"/>
            <w:tcBorders>
              <w:bottom w:val="single" w:sz="4" w:space="0" w:color="939598"/>
            </w:tcBorders>
            <w:shd w:val="clear" w:color="auto" w:fill="051C3C"/>
          </w:tcPr>
          <w:p w14:paraId="5DDEC06D" w14:textId="67A2EC94" w:rsidR="007C1E00" w:rsidRPr="003D6DC8" w:rsidRDefault="007C1E00" w:rsidP="007C1E00">
            <w:pPr>
              <w:pStyle w:val="Table"/>
              <w:jc w:val="center"/>
              <w:rPr>
                <w:b/>
              </w:rP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4588F97A" w14:textId="705AE3E5" w:rsidR="007C1E00" w:rsidRPr="003D6DC8" w:rsidRDefault="007C1E00" w:rsidP="007C1E00">
            <w:pPr>
              <w:pStyle w:val="Table"/>
              <w:jc w:val="center"/>
              <w:rPr>
                <w:b/>
              </w:rP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32D79C08" w14:textId="69E5CB3D" w:rsidR="007C1E00" w:rsidRPr="003D6DC8" w:rsidRDefault="007C1E00" w:rsidP="007C1E00">
            <w:pPr>
              <w:pStyle w:val="Table"/>
              <w:jc w:val="center"/>
              <w:rPr>
                <w:b/>
              </w:rPr>
            </w:pPr>
            <w:r w:rsidRPr="003D6DC8">
              <w:rPr>
                <w:b/>
                <w:color w:val="FFFFFF"/>
                <w:sz w:val="18"/>
              </w:rPr>
              <w:t>Column 3</w:t>
            </w:r>
            <w:r w:rsidRPr="003D6DC8">
              <w:rPr>
                <w:b/>
                <w:color w:val="FFFFFF"/>
                <w:sz w:val="18"/>
              </w:rPr>
              <w:br/>
              <w:t>Attachment</w:t>
            </w:r>
            <w:r w:rsidRPr="003D6DC8">
              <w:rPr>
                <w:b/>
                <w:color w:val="FFFFFF"/>
                <w:sz w:val="18"/>
              </w:rPr>
              <w:br/>
              <w:t>(Y or N)</w:t>
            </w:r>
          </w:p>
        </w:tc>
      </w:tr>
      <w:tr w:rsidR="007C1E00" w:rsidRPr="005E76D2" w14:paraId="1DB52737" w14:textId="77777777" w:rsidTr="00106283">
        <w:tc>
          <w:tcPr>
            <w:tcW w:w="10303" w:type="dxa"/>
            <w:gridSpan w:val="5"/>
            <w:tcBorders>
              <w:top w:val="single" w:sz="4" w:space="0" w:color="939598"/>
              <w:bottom w:val="single" w:sz="4" w:space="0" w:color="939598"/>
            </w:tcBorders>
            <w:shd w:val="clear" w:color="auto" w:fill="D9D9D9" w:themeFill="background1" w:themeFillShade="D9"/>
          </w:tcPr>
          <w:p w14:paraId="1C37A4AC" w14:textId="7A3385FA" w:rsidR="007C1E00" w:rsidRPr="007C1E00" w:rsidRDefault="007C1E00" w:rsidP="007C1E00">
            <w:pPr>
              <w:pStyle w:val="Table"/>
              <w:spacing w:before="100" w:after="100"/>
              <w:rPr>
                <w:b/>
              </w:rPr>
            </w:pPr>
            <w:r>
              <w:rPr>
                <w:b/>
              </w:rPr>
              <w:t xml:space="preserve">Income </w:t>
            </w:r>
            <w:r w:rsidRPr="007C1E00">
              <w:t>(continued)</w:t>
            </w:r>
          </w:p>
        </w:tc>
      </w:tr>
      <w:tr w:rsidR="007C1E00" w:rsidRPr="005E76D2" w14:paraId="19698732" w14:textId="77777777" w:rsidTr="00F17C65">
        <w:tc>
          <w:tcPr>
            <w:tcW w:w="1242" w:type="dxa"/>
          </w:tcPr>
          <w:p w14:paraId="15EAA553" w14:textId="263C90C6" w:rsidR="007C1E00" w:rsidRPr="005E76D2" w:rsidRDefault="007C1E00" w:rsidP="007C1E00">
            <w:pPr>
              <w:pStyle w:val="Table"/>
            </w:pPr>
            <w:r>
              <w:t>12</w:t>
            </w:r>
          </w:p>
        </w:tc>
        <w:tc>
          <w:tcPr>
            <w:tcW w:w="5753" w:type="dxa"/>
          </w:tcPr>
          <w:p w14:paraId="7653D0DE" w14:textId="77777777" w:rsidR="007C1E00" w:rsidRPr="005E76D2" w:rsidRDefault="007C1E00" w:rsidP="007C1E00">
            <w:pPr>
              <w:pStyle w:val="Table"/>
              <w:rPr>
                <w:b/>
              </w:rPr>
            </w:pPr>
            <w:r w:rsidRPr="005E76D2">
              <w:rPr>
                <w:b/>
              </w:rPr>
              <w:t>Employee share schemes</w:t>
            </w:r>
            <w:r>
              <w:rPr>
                <w:b/>
              </w:rPr>
              <w:t xml:space="preserve"> (ESS)</w:t>
            </w:r>
          </w:p>
          <w:p w14:paraId="0880CD5D" w14:textId="77777777" w:rsidR="007C1E00" w:rsidRDefault="007C1E00" w:rsidP="007C1E00">
            <w:pPr>
              <w:pStyle w:val="Table"/>
            </w:pPr>
            <w:r w:rsidRPr="005E76D2">
              <w:t xml:space="preserve">The discount given on the </w:t>
            </w:r>
            <w:r>
              <w:t>‘ESS interest’ (being a share or a right to acquire a share)</w:t>
            </w:r>
            <w:r w:rsidRPr="005E76D2">
              <w:t xml:space="preserve"> under </w:t>
            </w:r>
            <w:r>
              <w:t>an</w:t>
            </w:r>
            <w:r w:rsidRPr="005E76D2">
              <w:t xml:space="preserve"> </w:t>
            </w:r>
            <w:r>
              <w:t>ESS</w:t>
            </w:r>
            <w:r w:rsidRPr="005E76D2">
              <w:t xml:space="preserve"> is assessable for taxation purposes</w:t>
            </w:r>
            <w:r>
              <w:t xml:space="preserve"> unless the deferral concession applies to you. The discount is the difference between the market value of ESS interest in the amount paid to acquire that interest. Relevant information would generally be set out in an employee share scheme statement issued by the employer.</w:t>
            </w:r>
          </w:p>
          <w:p w14:paraId="50530DE0" w14:textId="77777777" w:rsidR="007C1E00" w:rsidRDefault="007C1E00" w:rsidP="007C1E00">
            <w:pPr>
              <w:pStyle w:val="Table"/>
            </w:pPr>
            <w:r>
              <w:t>In some circumstances, the assessable discount may be reduced by $1,000.</w:t>
            </w:r>
          </w:p>
          <w:p w14:paraId="733A8660" w14:textId="4CECCBFD" w:rsidR="007C1E00" w:rsidRDefault="007C1E00" w:rsidP="007C1E00">
            <w:pPr>
              <w:pStyle w:val="Table"/>
            </w:pPr>
            <w:r>
              <w:t>Where certain conditions are met in relation to the terms of the ESS you may defer including the assessable discount in your assessable income until a later income year.</w:t>
            </w:r>
          </w:p>
          <w:p w14:paraId="65D50DBC" w14:textId="27420504" w:rsidR="007C1E00" w:rsidRPr="005E76D2" w:rsidRDefault="007C1E00" w:rsidP="007C1E00">
            <w:pPr>
              <w:pStyle w:val="Table"/>
              <w:rPr>
                <w:b/>
              </w:rPr>
            </w:pPr>
            <w:r w:rsidRPr="00C108A5">
              <w:rPr>
                <w:b/>
                <w:sz w:val="14"/>
                <w:szCs w:val="14"/>
              </w:rPr>
              <w:t>Note</w:t>
            </w:r>
            <w:r w:rsidRPr="00C108A5">
              <w:rPr>
                <w:sz w:val="14"/>
                <w:szCs w:val="14"/>
              </w:rPr>
              <w:t>: for interests acquired pre 1July 2009 the discount is included in the 201</w:t>
            </w:r>
            <w:r>
              <w:rPr>
                <w:sz w:val="14"/>
                <w:szCs w:val="14"/>
              </w:rPr>
              <w:t>7</w:t>
            </w:r>
            <w:r w:rsidRPr="00C108A5">
              <w:rPr>
                <w:sz w:val="14"/>
                <w:szCs w:val="14"/>
              </w:rPr>
              <w:t xml:space="preserve"> income tax return if the ‘cessation time’ occurred during the 201</w:t>
            </w:r>
            <w:r>
              <w:rPr>
                <w:sz w:val="14"/>
                <w:szCs w:val="14"/>
              </w:rPr>
              <w:t>7</w:t>
            </w:r>
            <w:r w:rsidRPr="00C108A5">
              <w:rPr>
                <w:sz w:val="14"/>
                <w:szCs w:val="14"/>
              </w:rPr>
              <w:t xml:space="preserve"> income year.</w:t>
            </w:r>
            <w:r w:rsidRPr="00C108A5">
              <w:rPr>
                <w:b/>
                <w:sz w:val="14"/>
                <w:szCs w:val="14"/>
              </w:rPr>
              <w:t xml:space="preserve"> </w:t>
            </w:r>
            <w:r w:rsidRPr="00611CF7">
              <w:rPr>
                <w:sz w:val="14"/>
                <w:szCs w:val="14"/>
              </w:rPr>
              <w:t>C</w:t>
            </w:r>
            <w:r w:rsidRPr="006E09CD">
              <w:rPr>
                <w:rFonts w:cs="Arial"/>
                <w:sz w:val="14"/>
                <w:szCs w:val="14"/>
              </w:rPr>
              <w:t xml:space="preserve">hanges to employee share schemes </w:t>
            </w:r>
            <w:r>
              <w:rPr>
                <w:rFonts w:cs="Arial"/>
                <w:sz w:val="14"/>
                <w:szCs w:val="14"/>
              </w:rPr>
              <w:t xml:space="preserve">also </w:t>
            </w:r>
            <w:r w:rsidRPr="006E09CD">
              <w:rPr>
                <w:rFonts w:cs="Arial"/>
                <w:sz w:val="14"/>
                <w:szCs w:val="14"/>
              </w:rPr>
              <w:t xml:space="preserve">took effect on 1 July 2015 and apply to ESS interests acquired on or after that date. These changes include a tax concession through which some discounts on ESS interests in start-up companies will not be taxed under the employee share scheme regime, as long as certain eligibility criteria are met. Subsequent gains on the disposal of these ESS interests will be taxed under the capital gain tax rules. There </w:t>
            </w:r>
            <w:r>
              <w:rPr>
                <w:rFonts w:cs="Arial"/>
                <w:sz w:val="14"/>
                <w:szCs w:val="14"/>
              </w:rPr>
              <w:t xml:space="preserve">were </w:t>
            </w:r>
            <w:r w:rsidRPr="006E09CD">
              <w:rPr>
                <w:rFonts w:cs="Arial"/>
                <w:sz w:val="14"/>
                <w:szCs w:val="14"/>
              </w:rPr>
              <w:t>also changes to the ‘deferred taxing point’ under the</w:t>
            </w:r>
            <w:r>
              <w:rPr>
                <w:rFonts w:cs="Arial"/>
                <w:sz w:val="14"/>
                <w:szCs w:val="14"/>
              </w:rPr>
              <w:t>se</w:t>
            </w:r>
            <w:r w:rsidRPr="006E09CD">
              <w:rPr>
                <w:rFonts w:cs="Arial"/>
                <w:sz w:val="14"/>
                <w:szCs w:val="14"/>
              </w:rPr>
              <w:t xml:space="preserve"> rules.</w:t>
            </w:r>
          </w:p>
        </w:tc>
        <w:tc>
          <w:tcPr>
            <w:tcW w:w="1051" w:type="dxa"/>
          </w:tcPr>
          <w:p w14:paraId="397CC20F" w14:textId="77777777" w:rsidR="007C1E00" w:rsidRPr="005E76D2" w:rsidRDefault="007C1E00" w:rsidP="007C1E00">
            <w:pPr>
              <w:pStyle w:val="Table"/>
              <w:jc w:val="center"/>
            </w:pPr>
          </w:p>
        </w:tc>
        <w:tc>
          <w:tcPr>
            <w:tcW w:w="1049" w:type="dxa"/>
          </w:tcPr>
          <w:p w14:paraId="022D8E59" w14:textId="77777777" w:rsidR="007C1E00" w:rsidRPr="005E76D2" w:rsidRDefault="007C1E00" w:rsidP="007C1E00">
            <w:pPr>
              <w:pStyle w:val="Table"/>
              <w:jc w:val="center"/>
            </w:pPr>
          </w:p>
        </w:tc>
        <w:tc>
          <w:tcPr>
            <w:tcW w:w="1208" w:type="dxa"/>
          </w:tcPr>
          <w:p w14:paraId="28BA9818" w14:textId="77777777" w:rsidR="007C1E00" w:rsidRPr="005E76D2" w:rsidRDefault="007C1E00" w:rsidP="007C1E00">
            <w:pPr>
              <w:pStyle w:val="Table"/>
              <w:jc w:val="center"/>
            </w:pPr>
          </w:p>
        </w:tc>
      </w:tr>
      <w:tr w:rsidR="00272529" w:rsidRPr="005E76D2" w14:paraId="573C9FDE" w14:textId="77777777" w:rsidTr="00106283">
        <w:tc>
          <w:tcPr>
            <w:tcW w:w="10303" w:type="dxa"/>
            <w:gridSpan w:val="5"/>
            <w:shd w:val="clear" w:color="auto" w:fill="D9D9D9" w:themeFill="background1" w:themeFillShade="D9"/>
            <w:vAlign w:val="center"/>
          </w:tcPr>
          <w:p w14:paraId="778F805E" w14:textId="063DAF6D" w:rsidR="00272529" w:rsidRPr="005E76D2" w:rsidRDefault="00272529" w:rsidP="00756DC1">
            <w:pPr>
              <w:pStyle w:val="Table"/>
            </w:pPr>
            <w:r w:rsidRPr="00272529">
              <w:rPr>
                <w:b/>
              </w:rPr>
              <w:t>Supplement Income or Loss</w:t>
            </w:r>
          </w:p>
        </w:tc>
      </w:tr>
      <w:tr w:rsidR="00272529" w:rsidRPr="005E76D2" w14:paraId="3A09B097" w14:textId="77777777" w:rsidTr="00F17C65">
        <w:tc>
          <w:tcPr>
            <w:tcW w:w="1242" w:type="dxa"/>
          </w:tcPr>
          <w:p w14:paraId="0FB71550" w14:textId="759FAD64" w:rsidR="00272529" w:rsidRPr="005E76D2" w:rsidRDefault="00272529" w:rsidP="00272529">
            <w:pPr>
              <w:pStyle w:val="Table"/>
            </w:pPr>
            <w:r>
              <w:t>13</w:t>
            </w:r>
          </w:p>
        </w:tc>
        <w:tc>
          <w:tcPr>
            <w:tcW w:w="5753" w:type="dxa"/>
          </w:tcPr>
          <w:p w14:paraId="3918B21B" w14:textId="39AB1C3A" w:rsidR="00756DC1" w:rsidRPr="005E76D2" w:rsidRDefault="00756DC1" w:rsidP="00756DC1">
            <w:pPr>
              <w:pStyle w:val="Table"/>
              <w:rPr>
                <w:b/>
              </w:rPr>
            </w:pPr>
            <w:r>
              <w:rPr>
                <w:b/>
              </w:rPr>
              <w:t>Partnerships and trusts</w:t>
            </w:r>
          </w:p>
          <w:p w14:paraId="0375792C" w14:textId="486A1947" w:rsidR="00756DC1" w:rsidRPr="005E76D2" w:rsidRDefault="00756DC1" w:rsidP="00756DC1">
            <w:pPr>
              <w:pStyle w:val="Table"/>
            </w:pPr>
            <w:r>
              <w:t>Details of the partnership, trust or a managed investment trust fund distribution and type of income received are required. Carefully identify tax credits that may be utilised.</w:t>
            </w:r>
            <w:r w:rsidRPr="005E76D2">
              <w:t xml:space="preserve"> </w:t>
            </w:r>
          </w:p>
          <w:p w14:paraId="434F3529" w14:textId="2CBB1CF2" w:rsidR="00272529" w:rsidRDefault="00756DC1" w:rsidP="00756DC1">
            <w:pPr>
              <w:pStyle w:val="Table"/>
              <w:rPr>
                <w:sz w:val="14"/>
                <w:szCs w:val="14"/>
              </w:rPr>
            </w:pPr>
            <w:r w:rsidRPr="00C108A5">
              <w:rPr>
                <w:b/>
                <w:sz w:val="14"/>
                <w:szCs w:val="14"/>
              </w:rPr>
              <w:t>Note</w:t>
            </w:r>
            <w:r w:rsidRPr="00C108A5">
              <w:rPr>
                <w:sz w:val="14"/>
                <w:szCs w:val="14"/>
              </w:rPr>
              <w:t xml:space="preserve">: </w:t>
            </w:r>
            <w:r>
              <w:rPr>
                <w:sz w:val="14"/>
                <w:szCs w:val="14"/>
              </w:rPr>
              <w:t>check to see if the client is entitled to a small business tax offset on that person’s share of net small business income derived where the trust or partnership would be regarded as a small business entity for the 2017 year.</w:t>
            </w:r>
          </w:p>
          <w:p w14:paraId="2108ED85" w14:textId="035FCDD0" w:rsidR="00756DC1" w:rsidRDefault="00756DC1" w:rsidP="00756DC1">
            <w:pPr>
              <w:pStyle w:val="Table"/>
              <w:rPr>
                <w:sz w:val="14"/>
                <w:szCs w:val="14"/>
              </w:rPr>
            </w:pPr>
            <w:r w:rsidRPr="00C108A5">
              <w:rPr>
                <w:b/>
                <w:sz w:val="14"/>
                <w:szCs w:val="14"/>
              </w:rPr>
              <w:t>Note</w:t>
            </w:r>
            <w:r w:rsidRPr="00C108A5">
              <w:rPr>
                <w:sz w:val="14"/>
                <w:szCs w:val="14"/>
              </w:rPr>
              <w:t xml:space="preserve">: </w:t>
            </w:r>
            <w:r>
              <w:rPr>
                <w:sz w:val="14"/>
                <w:szCs w:val="14"/>
              </w:rPr>
              <w:t>trustees of certain closely held trusts and family trusts are required to withhold tax at a rate of 49% from distributions to individual beneficiaries who have not provided their tax file number (TFN). Beneficiaries who have had such amounts withheld from their trust distributions can claim a credit under this label.</w:t>
            </w:r>
          </w:p>
          <w:p w14:paraId="7DB961A5" w14:textId="330532A8" w:rsidR="00756DC1" w:rsidRPr="005E76D2" w:rsidRDefault="00756DC1" w:rsidP="00756DC1">
            <w:pPr>
              <w:pStyle w:val="Table"/>
              <w:rPr>
                <w:b/>
              </w:rPr>
            </w:pPr>
            <w:r w:rsidRPr="00C108A5">
              <w:rPr>
                <w:b/>
                <w:sz w:val="14"/>
                <w:szCs w:val="14"/>
              </w:rPr>
              <w:t>Note</w:t>
            </w:r>
            <w:r w:rsidRPr="00C108A5">
              <w:rPr>
                <w:sz w:val="14"/>
                <w:szCs w:val="14"/>
              </w:rPr>
              <w:t xml:space="preserve">: </w:t>
            </w:r>
            <w:r>
              <w:rPr>
                <w:sz w:val="14"/>
                <w:szCs w:val="14"/>
              </w:rPr>
              <w:t>amounts which have been subject to family trust distribution tax should not be included under this item but at Label A5.</w:t>
            </w:r>
          </w:p>
        </w:tc>
        <w:tc>
          <w:tcPr>
            <w:tcW w:w="1051" w:type="dxa"/>
          </w:tcPr>
          <w:p w14:paraId="4BE3F100" w14:textId="77777777" w:rsidR="00272529" w:rsidRPr="005E76D2" w:rsidRDefault="00272529" w:rsidP="00272529">
            <w:pPr>
              <w:pStyle w:val="Table"/>
              <w:jc w:val="center"/>
            </w:pPr>
          </w:p>
        </w:tc>
        <w:tc>
          <w:tcPr>
            <w:tcW w:w="1049" w:type="dxa"/>
          </w:tcPr>
          <w:p w14:paraId="02A162CC" w14:textId="77777777" w:rsidR="00272529" w:rsidRPr="005E76D2" w:rsidRDefault="00272529" w:rsidP="00272529">
            <w:pPr>
              <w:pStyle w:val="Table"/>
              <w:jc w:val="center"/>
            </w:pPr>
          </w:p>
        </w:tc>
        <w:tc>
          <w:tcPr>
            <w:tcW w:w="1208" w:type="dxa"/>
          </w:tcPr>
          <w:p w14:paraId="0457DEC4" w14:textId="77777777" w:rsidR="00272529" w:rsidRPr="005E76D2" w:rsidRDefault="00272529" w:rsidP="00272529">
            <w:pPr>
              <w:pStyle w:val="Table"/>
              <w:jc w:val="center"/>
            </w:pPr>
          </w:p>
        </w:tc>
      </w:tr>
      <w:tr w:rsidR="00272529" w:rsidRPr="005E76D2" w14:paraId="2B9FFD2A" w14:textId="77777777" w:rsidTr="00F17C65">
        <w:tc>
          <w:tcPr>
            <w:tcW w:w="1242" w:type="dxa"/>
          </w:tcPr>
          <w:p w14:paraId="002B63F6" w14:textId="77777777" w:rsidR="00272529" w:rsidRPr="005E76D2" w:rsidRDefault="00272529" w:rsidP="00272529">
            <w:pPr>
              <w:pStyle w:val="Table"/>
            </w:pPr>
            <w:r w:rsidRPr="005E76D2">
              <w:t>14</w:t>
            </w:r>
          </w:p>
        </w:tc>
        <w:tc>
          <w:tcPr>
            <w:tcW w:w="5753" w:type="dxa"/>
          </w:tcPr>
          <w:p w14:paraId="1BA69495" w14:textId="77777777" w:rsidR="00272529" w:rsidRPr="005E76D2" w:rsidRDefault="00272529" w:rsidP="00272529">
            <w:pPr>
              <w:pStyle w:val="Table"/>
              <w:rPr>
                <w:b/>
              </w:rPr>
            </w:pPr>
            <w:r w:rsidRPr="005E76D2">
              <w:rPr>
                <w:b/>
              </w:rPr>
              <w:t>Personal services income (PSI)</w:t>
            </w:r>
          </w:p>
          <w:p w14:paraId="609EE528" w14:textId="645BDBFD" w:rsidR="00272529" w:rsidRPr="005E76D2" w:rsidRDefault="00272529" w:rsidP="00272529">
            <w:pPr>
              <w:pStyle w:val="Table"/>
            </w:pPr>
            <w:r w:rsidRPr="005E76D2">
              <w:t>Is the client a sole trader? If yes, a</w:t>
            </w:r>
            <w:r>
              <w:t xml:space="preserve">pply the </w:t>
            </w:r>
            <w:r w:rsidRPr="005E76D2">
              <w:t>CPA Australia 201</w:t>
            </w:r>
            <w:r>
              <w:t>7</w:t>
            </w:r>
            <w:r w:rsidRPr="005E76D2">
              <w:t xml:space="preserve"> PSI/PSB self-assessment </w:t>
            </w:r>
            <w:r>
              <w:t>checklist to determine if the client is subject to the personal services income provisions.</w:t>
            </w:r>
            <w:r w:rsidRPr="005E76D2">
              <w:t xml:space="preserve"> </w:t>
            </w:r>
          </w:p>
          <w:p w14:paraId="446BCC75" w14:textId="2B9BDFA5" w:rsidR="00272529" w:rsidRPr="005E76D2" w:rsidRDefault="00272529" w:rsidP="0031122F">
            <w:pPr>
              <w:pStyle w:val="Table"/>
            </w:pPr>
            <w:r w:rsidRPr="00C108A5">
              <w:rPr>
                <w:b/>
                <w:sz w:val="14"/>
                <w:szCs w:val="14"/>
              </w:rPr>
              <w:t>Note</w:t>
            </w:r>
            <w:r w:rsidRPr="00C108A5">
              <w:rPr>
                <w:sz w:val="14"/>
                <w:szCs w:val="14"/>
              </w:rPr>
              <w:t xml:space="preserve">: </w:t>
            </w:r>
            <w:r>
              <w:rPr>
                <w:sz w:val="14"/>
                <w:szCs w:val="14"/>
              </w:rPr>
              <w:t>i</w:t>
            </w:r>
            <w:r w:rsidRPr="00CB2810">
              <w:rPr>
                <w:sz w:val="14"/>
                <w:szCs w:val="14"/>
              </w:rPr>
              <w:t>f this is the case then the Business and professional items schedule for individuals 201</w:t>
            </w:r>
            <w:r>
              <w:rPr>
                <w:sz w:val="14"/>
                <w:szCs w:val="14"/>
              </w:rPr>
              <w:t>7</w:t>
            </w:r>
            <w:r w:rsidRPr="00CB2810">
              <w:rPr>
                <w:sz w:val="14"/>
                <w:szCs w:val="14"/>
              </w:rPr>
              <w:t xml:space="preserve"> </w:t>
            </w:r>
            <w:r>
              <w:rPr>
                <w:sz w:val="14"/>
                <w:szCs w:val="14"/>
              </w:rPr>
              <w:t>should be completed. A copy of the schedule and related instructions</w:t>
            </w:r>
            <w:r w:rsidR="0031122F">
              <w:rPr>
                <w:sz w:val="14"/>
                <w:szCs w:val="14"/>
              </w:rPr>
              <w:t xml:space="preserve"> are available on the </w:t>
            </w:r>
            <w:hyperlink r:id="rId13" w:history="1">
              <w:r w:rsidR="0031122F" w:rsidRPr="0031122F">
                <w:rPr>
                  <w:rStyle w:val="Hyperlink"/>
                  <w:sz w:val="14"/>
                  <w:szCs w:val="14"/>
                </w:rPr>
                <w:t>ATO website</w:t>
              </w:r>
            </w:hyperlink>
            <w:r w:rsidR="0031122F">
              <w:rPr>
                <w:sz w:val="14"/>
                <w:szCs w:val="14"/>
              </w:rPr>
              <w:t>.</w:t>
            </w:r>
          </w:p>
        </w:tc>
        <w:tc>
          <w:tcPr>
            <w:tcW w:w="1051" w:type="dxa"/>
          </w:tcPr>
          <w:p w14:paraId="768F8DC6" w14:textId="77777777" w:rsidR="00272529" w:rsidRPr="005E76D2" w:rsidRDefault="00272529" w:rsidP="00272529">
            <w:pPr>
              <w:pStyle w:val="Table"/>
              <w:jc w:val="center"/>
            </w:pPr>
          </w:p>
        </w:tc>
        <w:tc>
          <w:tcPr>
            <w:tcW w:w="1049" w:type="dxa"/>
          </w:tcPr>
          <w:p w14:paraId="7C3EECFF" w14:textId="77777777" w:rsidR="00272529" w:rsidRPr="005E76D2" w:rsidRDefault="00272529" w:rsidP="00272529">
            <w:pPr>
              <w:pStyle w:val="Table"/>
              <w:jc w:val="center"/>
            </w:pPr>
          </w:p>
        </w:tc>
        <w:tc>
          <w:tcPr>
            <w:tcW w:w="1208" w:type="dxa"/>
          </w:tcPr>
          <w:p w14:paraId="1516ED72" w14:textId="77777777" w:rsidR="00272529" w:rsidRPr="005E76D2" w:rsidRDefault="00272529" w:rsidP="00272529">
            <w:pPr>
              <w:pStyle w:val="Table"/>
              <w:jc w:val="center"/>
            </w:pPr>
          </w:p>
        </w:tc>
      </w:tr>
      <w:tr w:rsidR="00272529" w:rsidRPr="005E76D2" w14:paraId="5D07CB75" w14:textId="77777777" w:rsidTr="00F17C65">
        <w:tc>
          <w:tcPr>
            <w:tcW w:w="1242" w:type="dxa"/>
          </w:tcPr>
          <w:p w14:paraId="2834CEDD" w14:textId="77777777" w:rsidR="00272529" w:rsidRPr="005E76D2" w:rsidRDefault="00272529" w:rsidP="00272529">
            <w:pPr>
              <w:pStyle w:val="Table"/>
            </w:pPr>
            <w:r w:rsidRPr="005E76D2">
              <w:t>15</w:t>
            </w:r>
          </w:p>
        </w:tc>
        <w:tc>
          <w:tcPr>
            <w:tcW w:w="5753" w:type="dxa"/>
          </w:tcPr>
          <w:p w14:paraId="0CF0B028" w14:textId="77777777" w:rsidR="00272529" w:rsidRPr="005E76D2" w:rsidRDefault="00272529" w:rsidP="00272529">
            <w:pPr>
              <w:pStyle w:val="Table"/>
              <w:rPr>
                <w:b/>
              </w:rPr>
            </w:pPr>
            <w:r w:rsidRPr="005E76D2">
              <w:rPr>
                <w:b/>
              </w:rPr>
              <w:t>Net income or loss from business</w:t>
            </w:r>
          </w:p>
          <w:p w14:paraId="08A2A708" w14:textId="0DE2F74A" w:rsidR="00272529" w:rsidRDefault="00272529" w:rsidP="00272529">
            <w:pPr>
              <w:pStyle w:val="Table"/>
            </w:pPr>
            <w:r w:rsidRPr="005E76D2">
              <w:t>If the taxpayer derived income from any business (other than the personal service income included at item 13), complete and attach a business and professional items schedule.</w:t>
            </w:r>
          </w:p>
          <w:p w14:paraId="573582A9" w14:textId="18BDB5BD" w:rsidR="00272529" w:rsidRPr="005E76D2" w:rsidRDefault="00272529" w:rsidP="00272529">
            <w:pPr>
              <w:pStyle w:val="Table"/>
            </w:pPr>
            <w:r w:rsidRPr="00C108A5">
              <w:rPr>
                <w:b/>
                <w:sz w:val="14"/>
                <w:szCs w:val="14"/>
              </w:rPr>
              <w:t>Note</w:t>
            </w:r>
            <w:r w:rsidRPr="00C108A5">
              <w:rPr>
                <w:sz w:val="14"/>
                <w:szCs w:val="14"/>
              </w:rPr>
              <w:t xml:space="preserve">: </w:t>
            </w:r>
            <w:r>
              <w:rPr>
                <w:sz w:val="14"/>
                <w:szCs w:val="14"/>
              </w:rPr>
              <w:t xml:space="preserve">the client may be entitled to a small business tax offset of up to $1,000 if the client is a small business entity for the 2017 year. The tax offset will be available where the client’s aggregated turnover is less than $5 million for the 2017 year, and the offset is equal to 8% of the income tax payable on the client’s total net small business income which is capped to a maximum amount of $1,000. This offset will be calculated by the ATO.     </w:t>
            </w:r>
          </w:p>
          <w:p w14:paraId="62EE8FBB" w14:textId="6CBF436A" w:rsidR="00272529" w:rsidRPr="00C108A5" w:rsidRDefault="00272529" w:rsidP="0031122F">
            <w:pPr>
              <w:pStyle w:val="Source"/>
              <w:tabs>
                <w:tab w:val="clear" w:pos="368"/>
                <w:tab w:val="left" w:pos="601"/>
              </w:tabs>
              <w:spacing w:after="60"/>
              <w:ind w:left="0" w:right="-119" w:firstLine="0"/>
              <w:rPr>
                <w:sz w:val="14"/>
                <w:szCs w:val="14"/>
              </w:rPr>
            </w:pPr>
            <w:r w:rsidRPr="00C108A5">
              <w:rPr>
                <w:b/>
                <w:sz w:val="14"/>
                <w:szCs w:val="14"/>
              </w:rPr>
              <w:t>Note</w:t>
            </w:r>
            <w:r w:rsidRPr="00C108A5">
              <w:rPr>
                <w:sz w:val="14"/>
                <w:szCs w:val="14"/>
              </w:rPr>
              <w:t xml:space="preserve">: </w:t>
            </w:r>
            <w:r>
              <w:rPr>
                <w:sz w:val="14"/>
                <w:szCs w:val="14"/>
              </w:rPr>
              <w:t>a copy of the B</w:t>
            </w:r>
            <w:r w:rsidRPr="00CB2810">
              <w:rPr>
                <w:sz w:val="14"/>
                <w:szCs w:val="14"/>
              </w:rPr>
              <w:t>usiness and professional items schedule for individuals 201</w:t>
            </w:r>
            <w:r>
              <w:rPr>
                <w:sz w:val="14"/>
                <w:szCs w:val="14"/>
              </w:rPr>
              <w:t>7</w:t>
            </w:r>
            <w:r w:rsidRPr="00CB2810">
              <w:rPr>
                <w:sz w:val="14"/>
                <w:szCs w:val="14"/>
              </w:rPr>
              <w:t xml:space="preserve"> </w:t>
            </w:r>
            <w:r>
              <w:rPr>
                <w:sz w:val="14"/>
                <w:szCs w:val="14"/>
              </w:rPr>
              <w:t>and related instructions</w:t>
            </w:r>
            <w:r w:rsidR="0031122F">
              <w:rPr>
                <w:sz w:val="14"/>
                <w:szCs w:val="14"/>
              </w:rPr>
              <w:t xml:space="preserve"> are available on the </w:t>
            </w:r>
            <w:hyperlink r:id="rId14" w:history="1">
              <w:r w:rsidR="0031122F" w:rsidRPr="0031122F">
                <w:rPr>
                  <w:rStyle w:val="Hyperlink"/>
                  <w:sz w:val="14"/>
                  <w:szCs w:val="14"/>
                </w:rPr>
                <w:t>ATO website</w:t>
              </w:r>
            </w:hyperlink>
            <w:r w:rsidR="0031122F">
              <w:rPr>
                <w:sz w:val="14"/>
                <w:szCs w:val="14"/>
              </w:rPr>
              <w:t>.</w:t>
            </w:r>
          </w:p>
        </w:tc>
        <w:tc>
          <w:tcPr>
            <w:tcW w:w="1051" w:type="dxa"/>
          </w:tcPr>
          <w:p w14:paraId="750CF11E" w14:textId="77777777" w:rsidR="00272529" w:rsidRPr="005E76D2" w:rsidRDefault="00272529" w:rsidP="00272529">
            <w:pPr>
              <w:pStyle w:val="Table"/>
              <w:jc w:val="center"/>
            </w:pPr>
          </w:p>
        </w:tc>
        <w:tc>
          <w:tcPr>
            <w:tcW w:w="1049" w:type="dxa"/>
          </w:tcPr>
          <w:p w14:paraId="0C8AF33A" w14:textId="77777777" w:rsidR="00272529" w:rsidRPr="005E76D2" w:rsidRDefault="00272529" w:rsidP="00272529">
            <w:pPr>
              <w:pStyle w:val="Table"/>
              <w:jc w:val="center"/>
            </w:pPr>
          </w:p>
        </w:tc>
        <w:tc>
          <w:tcPr>
            <w:tcW w:w="1208" w:type="dxa"/>
          </w:tcPr>
          <w:p w14:paraId="49A1BE21" w14:textId="77777777" w:rsidR="00272529" w:rsidRPr="005E76D2" w:rsidRDefault="00272529" w:rsidP="00272529">
            <w:pPr>
              <w:pStyle w:val="Table"/>
              <w:jc w:val="center"/>
            </w:pPr>
          </w:p>
        </w:tc>
      </w:tr>
      <w:tr w:rsidR="00766EFF" w:rsidRPr="005E76D2" w14:paraId="26031DB8" w14:textId="77777777" w:rsidTr="00106283">
        <w:tc>
          <w:tcPr>
            <w:tcW w:w="1242" w:type="dxa"/>
            <w:tcBorders>
              <w:bottom w:val="single" w:sz="4" w:space="0" w:color="939598"/>
            </w:tcBorders>
            <w:shd w:val="clear" w:color="auto" w:fill="051C3C"/>
          </w:tcPr>
          <w:p w14:paraId="2DCFEF09" w14:textId="54F30BB0" w:rsidR="00766EFF" w:rsidRPr="005E76D2" w:rsidRDefault="00766EFF" w:rsidP="00766EFF">
            <w:pPr>
              <w:pStyle w:val="Table"/>
              <w:keepNext/>
            </w:pPr>
            <w:r w:rsidRPr="003D6DC8">
              <w:rPr>
                <w:b/>
                <w:color w:val="FFFFFF"/>
                <w:sz w:val="18"/>
              </w:rPr>
              <w:t>Tax Return Reference</w:t>
            </w:r>
          </w:p>
        </w:tc>
        <w:tc>
          <w:tcPr>
            <w:tcW w:w="5753" w:type="dxa"/>
            <w:tcBorders>
              <w:bottom w:val="single" w:sz="4" w:space="0" w:color="939598"/>
            </w:tcBorders>
            <w:shd w:val="clear" w:color="auto" w:fill="051C3C"/>
          </w:tcPr>
          <w:p w14:paraId="1D12037D" w14:textId="0A6BD7F8" w:rsidR="00766EFF" w:rsidRPr="005E76D2" w:rsidRDefault="00766EFF" w:rsidP="00766EFF">
            <w:pPr>
              <w:pStyle w:val="Table"/>
              <w:keepNext/>
              <w:rPr>
                <w:b/>
              </w:rPr>
            </w:pPr>
            <w:r w:rsidRPr="003D6DC8">
              <w:rPr>
                <w:b/>
                <w:color w:val="FFFFFF"/>
                <w:sz w:val="18"/>
              </w:rPr>
              <w:t>Section of the Income Tax Return</w:t>
            </w:r>
          </w:p>
        </w:tc>
        <w:tc>
          <w:tcPr>
            <w:tcW w:w="1051" w:type="dxa"/>
            <w:tcBorders>
              <w:bottom w:val="single" w:sz="4" w:space="0" w:color="939598"/>
            </w:tcBorders>
            <w:shd w:val="clear" w:color="auto" w:fill="051C3C"/>
          </w:tcPr>
          <w:p w14:paraId="571C965E" w14:textId="6648FFC3" w:rsidR="00766EFF" w:rsidRPr="005E76D2" w:rsidRDefault="00766EFF" w:rsidP="00766EFF">
            <w:pPr>
              <w:pStyle w:val="Table"/>
              <w:keepNext/>
              <w:jc w:val="center"/>
            </w:pPr>
            <w:r w:rsidRPr="003D6DC8">
              <w:rPr>
                <w:b/>
                <w:color w:val="FFFFFF"/>
                <w:sz w:val="18"/>
              </w:rPr>
              <w:t>Column 1</w:t>
            </w:r>
            <w:r w:rsidRPr="003D6DC8">
              <w:rPr>
                <w:b/>
                <w:color w:val="FFFFFF"/>
                <w:sz w:val="18"/>
              </w:rPr>
              <w:br/>
              <w:t>(A) (S) (N/A)</w:t>
            </w:r>
          </w:p>
        </w:tc>
        <w:tc>
          <w:tcPr>
            <w:tcW w:w="1049" w:type="dxa"/>
            <w:tcBorders>
              <w:bottom w:val="single" w:sz="4" w:space="0" w:color="939598"/>
            </w:tcBorders>
            <w:shd w:val="clear" w:color="auto" w:fill="051C3C"/>
          </w:tcPr>
          <w:p w14:paraId="7EC18AAE" w14:textId="1988BE4C" w:rsidR="00766EFF" w:rsidRPr="005E76D2" w:rsidRDefault="00766EFF" w:rsidP="00766EFF">
            <w:pPr>
              <w:pStyle w:val="Table"/>
              <w:keepNext/>
              <w:jc w:val="center"/>
            </w:pPr>
            <w:r w:rsidRPr="003D6DC8">
              <w:rPr>
                <w:b/>
                <w:color w:val="FFFFFF"/>
                <w:sz w:val="18"/>
              </w:rPr>
              <w:t>Column 2</w:t>
            </w:r>
            <w:r w:rsidRPr="003D6DC8">
              <w:rPr>
                <w:b/>
                <w:color w:val="FFFFFF"/>
                <w:sz w:val="18"/>
              </w:rPr>
              <w:br/>
              <w:t>WP</w:t>
            </w:r>
            <w:r w:rsidRPr="003D6DC8">
              <w:rPr>
                <w:b/>
                <w:color w:val="FFFFFF"/>
                <w:sz w:val="18"/>
              </w:rPr>
              <w:br/>
              <w:t>(Y or N)</w:t>
            </w:r>
          </w:p>
        </w:tc>
        <w:tc>
          <w:tcPr>
            <w:tcW w:w="1208" w:type="dxa"/>
            <w:tcBorders>
              <w:bottom w:val="single" w:sz="4" w:space="0" w:color="939598"/>
            </w:tcBorders>
            <w:shd w:val="clear" w:color="auto" w:fill="051C3C"/>
          </w:tcPr>
          <w:p w14:paraId="61F2430C" w14:textId="2DF93703" w:rsidR="00766EFF" w:rsidRPr="005E76D2" w:rsidRDefault="00766EFF" w:rsidP="00766EFF">
            <w:pPr>
              <w:pStyle w:val="Table"/>
              <w:keepNext/>
              <w:jc w:val="center"/>
            </w:pPr>
            <w:r w:rsidRPr="003D6DC8">
              <w:rPr>
                <w:b/>
                <w:color w:val="FFFFFF"/>
                <w:sz w:val="18"/>
              </w:rPr>
              <w:t>Column 3</w:t>
            </w:r>
            <w:r w:rsidRPr="003D6DC8">
              <w:rPr>
                <w:b/>
                <w:color w:val="FFFFFF"/>
                <w:sz w:val="18"/>
              </w:rPr>
              <w:br/>
              <w:t>Attachment</w:t>
            </w:r>
            <w:r w:rsidRPr="003D6DC8">
              <w:rPr>
                <w:b/>
                <w:color w:val="FFFFFF"/>
                <w:sz w:val="18"/>
              </w:rPr>
              <w:br/>
              <w:t>(Y or N)</w:t>
            </w:r>
          </w:p>
        </w:tc>
      </w:tr>
      <w:tr w:rsidR="00766EFF" w:rsidRPr="005E76D2" w14:paraId="08A5B68C" w14:textId="77777777" w:rsidTr="00106283">
        <w:tc>
          <w:tcPr>
            <w:tcW w:w="10303" w:type="dxa"/>
            <w:gridSpan w:val="5"/>
            <w:shd w:val="clear" w:color="auto" w:fill="D9D9D9" w:themeFill="background1" w:themeFillShade="D9"/>
            <w:vAlign w:val="center"/>
          </w:tcPr>
          <w:p w14:paraId="24D13331" w14:textId="552D00CB" w:rsidR="00766EFF" w:rsidRPr="005E76D2" w:rsidRDefault="00766EFF" w:rsidP="00766EFF">
            <w:pPr>
              <w:pStyle w:val="Table"/>
              <w:keepNext/>
            </w:pPr>
            <w:r w:rsidRPr="00766EFF">
              <w:rPr>
                <w:b/>
              </w:rPr>
              <w:t>Supplement Income or Loss</w:t>
            </w:r>
            <w:r w:rsidRPr="00540F80">
              <w:t xml:space="preserve"> </w:t>
            </w:r>
            <w:r w:rsidRPr="00766EFF">
              <w:t>(continued)</w:t>
            </w:r>
          </w:p>
        </w:tc>
      </w:tr>
      <w:tr w:rsidR="00272529" w:rsidRPr="005E76D2" w14:paraId="6EA6C4C7" w14:textId="77777777" w:rsidTr="00F17C65">
        <w:tc>
          <w:tcPr>
            <w:tcW w:w="1242" w:type="dxa"/>
          </w:tcPr>
          <w:p w14:paraId="0F152EAF" w14:textId="77777777" w:rsidR="00272529" w:rsidRPr="005E76D2" w:rsidRDefault="00272529" w:rsidP="00272529">
            <w:pPr>
              <w:pStyle w:val="Table"/>
              <w:keepNext/>
            </w:pPr>
            <w:r w:rsidRPr="005E76D2">
              <w:t>16</w:t>
            </w:r>
          </w:p>
        </w:tc>
        <w:tc>
          <w:tcPr>
            <w:tcW w:w="5753" w:type="dxa"/>
          </w:tcPr>
          <w:p w14:paraId="3AACA79F" w14:textId="77777777" w:rsidR="00272529" w:rsidRPr="005E76D2" w:rsidRDefault="00272529" w:rsidP="00272529">
            <w:pPr>
              <w:pStyle w:val="Table"/>
              <w:keepNext/>
              <w:rPr>
                <w:b/>
              </w:rPr>
            </w:pPr>
            <w:r w:rsidRPr="005E76D2">
              <w:rPr>
                <w:b/>
              </w:rPr>
              <w:t>Deferred non-commercial business losses</w:t>
            </w:r>
          </w:p>
          <w:p w14:paraId="0CA75382" w14:textId="40C8B344" w:rsidR="00272529" w:rsidRPr="00D23939" w:rsidRDefault="00272529" w:rsidP="00272529">
            <w:pPr>
              <w:pStyle w:val="Table"/>
              <w:keepNext/>
              <w:rPr>
                <w:sz w:val="16"/>
                <w:szCs w:val="16"/>
              </w:rPr>
            </w:pPr>
            <w:r w:rsidRPr="00611CF7">
              <w:t>This item relates to losses made from activities that constitute carrying on a business (e.g. sole trader or as an individual partner in a partnership). If applicable, complete item P9 in the business and professional items schedule</w:t>
            </w:r>
            <w:r w:rsidRPr="00D23939">
              <w:rPr>
                <w:sz w:val="16"/>
                <w:szCs w:val="16"/>
              </w:rPr>
              <w:t>.</w:t>
            </w:r>
          </w:p>
          <w:p w14:paraId="360BEB69" w14:textId="77777777" w:rsidR="00272529" w:rsidRDefault="00272529" w:rsidP="00272529">
            <w:pPr>
              <w:spacing w:before="60" w:after="60"/>
              <w:ind w:right="-57"/>
              <w:rPr>
                <w:sz w:val="14"/>
                <w:szCs w:val="14"/>
              </w:rPr>
            </w:pPr>
            <w:r w:rsidRPr="00611CF7">
              <w:rPr>
                <w:b/>
                <w:sz w:val="14"/>
                <w:szCs w:val="14"/>
              </w:rPr>
              <w:t>Note</w:t>
            </w:r>
            <w:r>
              <w:rPr>
                <w:sz w:val="14"/>
                <w:szCs w:val="14"/>
              </w:rPr>
              <w:t xml:space="preserve">: </w:t>
            </w:r>
            <w:r w:rsidRPr="006F493C">
              <w:rPr>
                <w:sz w:val="14"/>
                <w:szCs w:val="14"/>
              </w:rPr>
              <w:t>for a loss to be claimed in the current period, the client must either operate a primary production or professional arts business (subject to a $40,000 limit on other source</w:t>
            </w:r>
            <w:r>
              <w:rPr>
                <w:sz w:val="14"/>
                <w:szCs w:val="14"/>
              </w:rPr>
              <w:t>s</w:t>
            </w:r>
            <w:r w:rsidRPr="006F493C">
              <w:rPr>
                <w:sz w:val="14"/>
                <w:szCs w:val="14"/>
              </w:rPr>
              <w:t xml:space="preserve"> </w:t>
            </w:r>
            <w:r>
              <w:rPr>
                <w:sz w:val="14"/>
                <w:szCs w:val="14"/>
              </w:rPr>
              <w:t xml:space="preserve">of </w:t>
            </w:r>
            <w:r w:rsidRPr="006F493C">
              <w:rPr>
                <w:sz w:val="14"/>
                <w:szCs w:val="14"/>
              </w:rPr>
              <w:t>income</w:t>
            </w:r>
            <w:r>
              <w:rPr>
                <w:sz w:val="14"/>
                <w:szCs w:val="14"/>
              </w:rPr>
              <w:t xml:space="preserve"> excluding capital gains</w:t>
            </w:r>
            <w:r w:rsidRPr="006F493C">
              <w:rPr>
                <w:sz w:val="14"/>
                <w:szCs w:val="14"/>
              </w:rPr>
              <w:t xml:space="preserve">). </w:t>
            </w:r>
          </w:p>
          <w:p w14:paraId="12E096F5" w14:textId="4B7080D9" w:rsidR="00272529" w:rsidRPr="00D23939" w:rsidRDefault="00272529" w:rsidP="00272529">
            <w:pPr>
              <w:spacing w:before="60" w:after="60"/>
              <w:ind w:right="-57"/>
              <w:rPr>
                <w:sz w:val="14"/>
                <w:szCs w:val="14"/>
              </w:rPr>
            </w:pPr>
            <w:r w:rsidRPr="006F493C">
              <w:rPr>
                <w:sz w:val="14"/>
                <w:szCs w:val="14"/>
              </w:rPr>
              <w:t xml:space="preserve">Alternatively, </w:t>
            </w:r>
            <w:r>
              <w:rPr>
                <w:sz w:val="14"/>
                <w:szCs w:val="14"/>
              </w:rPr>
              <w:t xml:space="preserve">if </w:t>
            </w:r>
            <w:r w:rsidRPr="006F493C">
              <w:rPr>
                <w:sz w:val="14"/>
                <w:szCs w:val="14"/>
              </w:rPr>
              <w:t xml:space="preserve">a </w:t>
            </w:r>
            <w:r w:rsidRPr="00D23939">
              <w:rPr>
                <w:sz w:val="14"/>
                <w:szCs w:val="14"/>
              </w:rPr>
              <w:t xml:space="preserve">taxpayer satisfies </w:t>
            </w:r>
            <w:r>
              <w:rPr>
                <w:sz w:val="14"/>
                <w:szCs w:val="14"/>
              </w:rPr>
              <w:t xml:space="preserve">one of four exemptions </w:t>
            </w:r>
            <w:r w:rsidRPr="00D23939">
              <w:rPr>
                <w:sz w:val="14"/>
                <w:szCs w:val="14"/>
              </w:rPr>
              <w:t xml:space="preserve">(i.e. the real property test, the profits test, </w:t>
            </w:r>
            <w:r>
              <w:rPr>
                <w:sz w:val="14"/>
                <w:szCs w:val="14"/>
              </w:rPr>
              <w:t xml:space="preserve">the </w:t>
            </w:r>
            <w:r w:rsidRPr="00D23939">
              <w:rPr>
                <w:sz w:val="14"/>
                <w:szCs w:val="14"/>
              </w:rPr>
              <w:t>other assets test or the assessable income test) losses from conducting certain business activities will be able to be offset against other income. If these tests are failed (and the Commissioner does not exercise a discretion) such losses must be quarantined and carried forward</w:t>
            </w:r>
            <w:r>
              <w:rPr>
                <w:sz w:val="14"/>
                <w:szCs w:val="14"/>
              </w:rPr>
              <w:t>.</w:t>
            </w:r>
          </w:p>
          <w:p w14:paraId="23D4AF3A" w14:textId="3076E0F8" w:rsidR="00272529" w:rsidRPr="005E76D2" w:rsidRDefault="00272529" w:rsidP="00272529">
            <w:pPr>
              <w:spacing w:before="60" w:after="60"/>
              <w:ind w:right="-57"/>
            </w:pPr>
            <w:r>
              <w:rPr>
                <w:sz w:val="14"/>
                <w:szCs w:val="14"/>
              </w:rPr>
              <w:t>In addition, o</w:t>
            </w:r>
            <w:r w:rsidRPr="00D23939">
              <w:rPr>
                <w:sz w:val="14"/>
                <w:szCs w:val="14"/>
              </w:rPr>
              <w:t>nly taxpayers with adjusted taxable income of less than $250,000 will be able to apply the non-commercial loss tests against salary and wages income. Taxpayers with adjusted taxable income greater than $250,000 must seek the Commissioner’s discretion to be able to offset such losses against their other income, or must only apply such losses against income derived from the same business activity.</w:t>
            </w:r>
            <w:r>
              <w:rPr>
                <w:sz w:val="14"/>
                <w:szCs w:val="14"/>
              </w:rPr>
              <w:t xml:space="preserve"> A</w:t>
            </w:r>
            <w:r w:rsidRPr="006F493C">
              <w:rPr>
                <w:sz w:val="14"/>
                <w:szCs w:val="14"/>
              </w:rPr>
              <w:t>djusted taxable income is the total of the taxpayer’s taxable income, total reportable fringe benefits, reportable superannuation contributions and total net investment losses</w:t>
            </w:r>
            <w:r>
              <w:rPr>
                <w:sz w:val="14"/>
                <w:szCs w:val="14"/>
              </w:rPr>
              <w:t>.</w:t>
            </w:r>
          </w:p>
        </w:tc>
        <w:tc>
          <w:tcPr>
            <w:tcW w:w="1051" w:type="dxa"/>
          </w:tcPr>
          <w:p w14:paraId="3152F8D2" w14:textId="77777777" w:rsidR="00272529" w:rsidRPr="005E76D2" w:rsidRDefault="00272529" w:rsidP="00272529">
            <w:pPr>
              <w:pStyle w:val="Table"/>
              <w:keepNext/>
              <w:jc w:val="center"/>
            </w:pPr>
          </w:p>
        </w:tc>
        <w:tc>
          <w:tcPr>
            <w:tcW w:w="1049" w:type="dxa"/>
          </w:tcPr>
          <w:p w14:paraId="57206555" w14:textId="77777777" w:rsidR="00272529" w:rsidRPr="005E76D2" w:rsidRDefault="00272529" w:rsidP="00272529">
            <w:pPr>
              <w:pStyle w:val="Table"/>
              <w:keepNext/>
              <w:jc w:val="center"/>
            </w:pPr>
          </w:p>
        </w:tc>
        <w:tc>
          <w:tcPr>
            <w:tcW w:w="1208" w:type="dxa"/>
          </w:tcPr>
          <w:p w14:paraId="10DC4DF1" w14:textId="77777777" w:rsidR="00272529" w:rsidRPr="005E76D2" w:rsidRDefault="00272529" w:rsidP="00272529">
            <w:pPr>
              <w:pStyle w:val="Table"/>
              <w:keepNext/>
              <w:jc w:val="center"/>
            </w:pPr>
          </w:p>
        </w:tc>
      </w:tr>
      <w:tr w:rsidR="00272529" w:rsidRPr="005E76D2" w14:paraId="2B6DE4FB" w14:textId="77777777" w:rsidTr="00F17C65">
        <w:tc>
          <w:tcPr>
            <w:tcW w:w="1242" w:type="dxa"/>
          </w:tcPr>
          <w:p w14:paraId="0ED80945" w14:textId="77777777" w:rsidR="00272529" w:rsidRPr="005E76D2" w:rsidRDefault="00272529" w:rsidP="00272529">
            <w:pPr>
              <w:pStyle w:val="Table"/>
            </w:pPr>
            <w:r w:rsidRPr="005E76D2">
              <w:t>17</w:t>
            </w:r>
          </w:p>
        </w:tc>
        <w:tc>
          <w:tcPr>
            <w:tcW w:w="5753" w:type="dxa"/>
          </w:tcPr>
          <w:p w14:paraId="10E86307" w14:textId="77777777" w:rsidR="00272529" w:rsidRPr="005E76D2" w:rsidRDefault="00272529" w:rsidP="00272529">
            <w:pPr>
              <w:pStyle w:val="Table"/>
              <w:rPr>
                <w:b/>
              </w:rPr>
            </w:pPr>
            <w:r w:rsidRPr="005E76D2">
              <w:rPr>
                <w:b/>
              </w:rPr>
              <w:t xml:space="preserve">Net farm management deposits or </w:t>
            </w:r>
            <w:r>
              <w:rPr>
                <w:b/>
              </w:rPr>
              <w:t>repayments</w:t>
            </w:r>
          </w:p>
          <w:p w14:paraId="3E2BB78B" w14:textId="77777777" w:rsidR="00272529" w:rsidRDefault="00272529" w:rsidP="00272529">
            <w:pPr>
              <w:pStyle w:val="Table"/>
            </w:pPr>
            <w:r w:rsidRPr="005E76D2">
              <w:t>This item is for primary producers only.</w:t>
            </w:r>
          </w:p>
          <w:p w14:paraId="2E2D2B96" w14:textId="3703A3E9" w:rsidR="00272529" w:rsidRPr="00C108A5" w:rsidRDefault="00272529" w:rsidP="00272529">
            <w:pPr>
              <w:pStyle w:val="Table"/>
              <w:rPr>
                <w:sz w:val="14"/>
                <w:szCs w:val="14"/>
              </w:rPr>
            </w:pPr>
            <w:r w:rsidRPr="00C108A5">
              <w:rPr>
                <w:b/>
                <w:sz w:val="14"/>
                <w:szCs w:val="14"/>
              </w:rPr>
              <w:t>Note:</w:t>
            </w:r>
            <w:r w:rsidRPr="00C108A5">
              <w:rPr>
                <w:sz w:val="14"/>
                <w:szCs w:val="14"/>
              </w:rPr>
              <w:t xml:space="preserve"> ensure that amounts that make up the net farm management deposits or repayments (e.g. deductible deposits, early repayments for natural disaster</w:t>
            </w:r>
            <w:r>
              <w:rPr>
                <w:sz w:val="14"/>
                <w:szCs w:val="14"/>
              </w:rPr>
              <w:t xml:space="preserve"> and other repayments</w:t>
            </w:r>
            <w:r w:rsidRPr="00C108A5">
              <w:rPr>
                <w:sz w:val="14"/>
                <w:szCs w:val="14"/>
              </w:rPr>
              <w:t>) are disclosed in labels D, N or R.</w:t>
            </w:r>
          </w:p>
        </w:tc>
        <w:tc>
          <w:tcPr>
            <w:tcW w:w="1051" w:type="dxa"/>
          </w:tcPr>
          <w:p w14:paraId="15EDD60A" w14:textId="77777777" w:rsidR="00272529" w:rsidRPr="005E76D2" w:rsidRDefault="00272529" w:rsidP="00272529">
            <w:pPr>
              <w:pStyle w:val="Table"/>
              <w:jc w:val="center"/>
            </w:pPr>
          </w:p>
        </w:tc>
        <w:tc>
          <w:tcPr>
            <w:tcW w:w="1049" w:type="dxa"/>
          </w:tcPr>
          <w:p w14:paraId="6038E81E" w14:textId="77777777" w:rsidR="00272529" w:rsidRPr="005E76D2" w:rsidRDefault="00272529" w:rsidP="00272529">
            <w:pPr>
              <w:pStyle w:val="Table"/>
              <w:jc w:val="center"/>
            </w:pPr>
          </w:p>
        </w:tc>
        <w:tc>
          <w:tcPr>
            <w:tcW w:w="1208" w:type="dxa"/>
          </w:tcPr>
          <w:p w14:paraId="022DA05E" w14:textId="77777777" w:rsidR="00272529" w:rsidRPr="005E76D2" w:rsidRDefault="00272529" w:rsidP="00272529">
            <w:pPr>
              <w:pStyle w:val="Table"/>
              <w:jc w:val="center"/>
            </w:pPr>
          </w:p>
        </w:tc>
      </w:tr>
      <w:tr w:rsidR="00272529" w:rsidRPr="005E76D2" w14:paraId="5813DA62" w14:textId="77777777" w:rsidTr="00F17C65">
        <w:tc>
          <w:tcPr>
            <w:tcW w:w="1242" w:type="dxa"/>
          </w:tcPr>
          <w:p w14:paraId="31F638D2" w14:textId="77777777" w:rsidR="00272529" w:rsidRPr="009A796B" w:rsidRDefault="00272529" w:rsidP="00272529">
            <w:pPr>
              <w:pStyle w:val="Table"/>
            </w:pPr>
            <w:r w:rsidRPr="009A796B">
              <w:t>18</w:t>
            </w:r>
          </w:p>
        </w:tc>
        <w:tc>
          <w:tcPr>
            <w:tcW w:w="5753" w:type="dxa"/>
          </w:tcPr>
          <w:p w14:paraId="4DEE8D48" w14:textId="77777777" w:rsidR="00272529" w:rsidRPr="009A796B" w:rsidRDefault="00272529" w:rsidP="00272529">
            <w:pPr>
              <w:pStyle w:val="Table"/>
              <w:rPr>
                <w:b/>
              </w:rPr>
            </w:pPr>
            <w:r w:rsidRPr="009A796B">
              <w:rPr>
                <w:b/>
              </w:rPr>
              <w:t>Capital gains</w:t>
            </w:r>
          </w:p>
          <w:p w14:paraId="53AED773" w14:textId="60627B32" w:rsidR="00272529" w:rsidRPr="009A796B" w:rsidRDefault="00272529" w:rsidP="00272529">
            <w:pPr>
              <w:pStyle w:val="Table"/>
              <w:ind w:right="-57"/>
            </w:pPr>
            <w:r w:rsidRPr="009A796B">
              <w:t xml:space="preserve">Obtain a description of the asset, the purchase date, the purchase cost, </w:t>
            </w:r>
            <w:r>
              <w:t xml:space="preserve">the </w:t>
            </w:r>
            <w:r w:rsidRPr="009A796B">
              <w:t>date and amount of any expenditure incurred by the taxpayer that forms part of the asset’s cost base including eligible incidental costs, the sale date and the sale proceeds amount.</w:t>
            </w:r>
          </w:p>
          <w:p w14:paraId="758C3DE0" w14:textId="3FFB1428" w:rsidR="00272529" w:rsidRPr="009A796B" w:rsidRDefault="00272529" w:rsidP="00272529">
            <w:pPr>
              <w:pStyle w:val="Table"/>
            </w:pPr>
            <w:r w:rsidRPr="009A796B">
              <w:t>Take account of rules applicable to assets sold from 21 September 1999 (i.e.</w:t>
            </w:r>
            <w:r>
              <w:t xml:space="preserve"> </w:t>
            </w:r>
            <w:r w:rsidRPr="009A796B">
              <w:t xml:space="preserve">50% CGT discount method, the small business CGT concessions and freezing of </w:t>
            </w:r>
            <w:r>
              <w:t xml:space="preserve">CGT </w:t>
            </w:r>
            <w:r w:rsidRPr="009A796B">
              <w:t>indexation as at 30 September 1999).</w:t>
            </w:r>
          </w:p>
          <w:p w14:paraId="202EB82F" w14:textId="5BA16548" w:rsidR="00272529" w:rsidRPr="00C108A5" w:rsidRDefault="00272529" w:rsidP="00272529">
            <w:pPr>
              <w:pStyle w:val="Table"/>
              <w:rPr>
                <w:color w:val="000000"/>
                <w:sz w:val="14"/>
                <w:szCs w:val="14"/>
              </w:rPr>
            </w:pPr>
            <w:r>
              <w:rPr>
                <w:b/>
                <w:color w:val="000000"/>
                <w:sz w:val="14"/>
                <w:szCs w:val="14"/>
              </w:rPr>
              <w:t>Note</w:t>
            </w:r>
            <w:r w:rsidRPr="00C108A5">
              <w:rPr>
                <w:color w:val="000000"/>
                <w:sz w:val="14"/>
                <w:szCs w:val="14"/>
              </w:rPr>
              <w:t xml:space="preserve">: capital losses are applied against gross capital gains before the 50% discount and/or small business </w:t>
            </w:r>
            <w:r>
              <w:rPr>
                <w:color w:val="000000"/>
                <w:sz w:val="14"/>
                <w:szCs w:val="14"/>
              </w:rPr>
              <w:t xml:space="preserve">CGT </w:t>
            </w:r>
            <w:r w:rsidRPr="00C108A5">
              <w:rPr>
                <w:color w:val="000000"/>
                <w:sz w:val="14"/>
                <w:szCs w:val="14"/>
              </w:rPr>
              <w:t>concessions are applied.</w:t>
            </w:r>
          </w:p>
          <w:p w14:paraId="7C9A2A4A" w14:textId="59B7572B" w:rsidR="00272529" w:rsidRDefault="00272529" w:rsidP="00272529">
            <w:pPr>
              <w:pStyle w:val="Table"/>
              <w:rPr>
                <w:color w:val="000000"/>
                <w:sz w:val="12"/>
              </w:rPr>
            </w:pPr>
            <w:r w:rsidRPr="00C108A5">
              <w:rPr>
                <w:b/>
                <w:color w:val="000000"/>
                <w:sz w:val="14"/>
                <w:szCs w:val="14"/>
              </w:rPr>
              <w:t>Note:</w:t>
            </w:r>
            <w:r w:rsidRPr="00C108A5">
              <w:rPr>
                <w:color w:val="000000"/>
                <w:sz w:val="14"/>
                <w:szCs w:val="14"/>
              </w:rPr>
              <w:t xml:space="preserve"> foreign resident individuals that make capital gains in relation to CGT events that occur after 7:30 pm on 8 May 2012 will not be able to discount the gain that “accrues” after this time. This means that a foreign resident </w:t>
            </w:r>
            <w:r>
              <w:rPr>
                <w:color w:val="000000"/>
                <w:sz w:val="14"/>
                <w:szCs w:val="14"/>
              </w:rPr>
              <w:t>may</w:t>
            </w:r>
            <w:r w:rsidRPr="00C108A5">
              <w:rPr>
                <w:color w:val="000000"/>
                <w:sz w:val="14"/>
                <w:szCs w:val="14"/>
              </w:rPr>
              <w:t xml:space="preserve"> need to calculate the ‘pre’ and ‘post’ 8 May 2012 portions of their capital gain. This is because the ‘pre-8 May 2012’ portion can continue to be discounted but the ‘post 8 May 2012’ portion will now be ineligible.</w:t>
            </w:r>
            <w:r w:rsidRPr="009A796B">
              <w:rPr>
                <w:color w:val="000000"/>
                <w:sz w:val="12"/>
              </w:rPr>
              <w:t xml:space="preserve"> </w:t>
            </w:r>
          </w:p>
          <w:p w14:paraId="3B5C95A7" w14:textId="7E81E83A" w:rsidR="00272529" w:rsidRPr="005E76D2" w:rsidRDefault="00272529" w:rsidP="00272529">
            <w:pPr>
              <w:pStyle w:val="Table"/>
              <w:rPr>
                <w:sz w:val="16"/>
                <w:szCs w:val="16"/>
              </w:rPr>
            </w:pPr>
            <w:r>
              <w:rPr>
                <w:b/>
                <w:color w:val="000000"/>
                <w:sz w:val="14"/>
                <w:szCs w:val="14"/>
              </w:rPr>
              <w:t>Note</w:t>
            </w:r>
            <w:r w:rsidRPr="00C108A5">
              <w:rPr>
                <w:color w:val="000000"/>
                <w:sz w:val="14"/>
                <w:szCs w:val="14"/>
              </w:rPr>
              <w:t xml:space="preserve">: </w:t>
            </w:r>
            <w:r>
              <w:rPr>
                <w:color w:val="000000"/>
                <w:sz w:val="14"/>
                <w:szCs w:val="14"/>
              </w:rPr>
              <w:t>dis</w:t>
            </w:r>
            <w:r w:rsidRPr="00C108A5">
              <w:rPr>
                <w:color w:val="000000"/>
                <w:sz w:val="14"/>
                <w:szCs w:val="14"/>
              </w:rPr>
              <w:t>c</w:t>
            </w:r>
            <w:r>
              <w:rPr>
                <w:color w:val="000000"/>
                <w:sz w:val="14"/>
                <w:szCs w:val="14"/>
              </w:rPr>
              <w:t>lose any net capital loss to be carried forward to later years at Label V.</w:t>
            </w:r>
          </w:p>
        </w:tc>
        <w:tc>
          <w:tcPr>
            <w:tcW w:w="1051" w:type="dxa"/>
          </w:tcPr>
          <w:p w14:paraId="69E5F272" w14:textId="77777777" w:rsidR="00272529" w:rsidRPr="005E76D2" w:rsidRDefault="00272529" w:rsidP="00272529">
            <w:pPr>
              <w:pStyle w:val="Table"/>
              <w:jc w:val="center"/>
            </w:pPr>
          </w:p>
        </w:tc>
        <w:tc>
          <w:tcPr>
            <w:tcW w:w="1049" w:type="dxa"/>
          </w:tcPr>
          <w:p w14:paraId="3592E3E5" w14:textId="77777777" w:rsidR="00272529" w:rsidRPr="005E76D2" w:rsidRDefault="00272529" w:rsidP="00272529">
            <w:pPr>
              <w:pStyle w:val="Table"/>
              <w:jc w:val="center"/>
            </w:pPr>
          </w:p>
        </w:tc>
        <w:tc>
          <w:tcPr>
            <w:tcW w:w="1208" w:type="dxa"/>
          </w:tcPr>
          <w:p w14:paraId="5F3D91EB" w14:textId="77777777" w:rsidR="00272529" w:rsidRPr="005E76D2" w:rsidRDefault="00272529" w:rsidP="00272529">
            <w:pPr>
              <w:pStyle w:val="Table"/>
              <w:jc w:val="center"/>
            </w:pPr>
          </w:p>
        </w:tc>
      </w:tr>
      <w:tr w:rsidR="00272529" w:rsidRPr="005E76D2" w14:paraId="4A7FEB2D" w14:textId="77777777" w:rsidTr="00F17C65">
        <w:tc>
          <w:tcPr>
            <w:tcW w:w="1242" w:type="dxa"/>
          </w:tcPr>
          <w:p w14:paraId="0CADBEAA" w14:textId="77777777" w:rsidR="00272529" w:rsidRPr="005E76D2" w:rsidRDefault="00272529" w:rsidP="00272529">
            <w:pPr>
              <w:pStyle w:val="Table"/>
            </w:pPr>
            <w:r w:rsidRPr="005E76D2">
              <w:t>19</w:t>
            </w:r>
          </w:p>
        </w:tc>
        <w:tc>
          <w:tcPr>
            <w:tcW w:w="5753" w:type="dxa"/>
          </w:tcPr>
          <w:p w14:paraId="00784A2A" w14:textId="77777777" w:rsidR="00272529" w:rsidRPr="005E76D2" w:rsidRDefault="00272529" w:rsidP="00272529">
            <w:pPr>
              <w:pStyle w:val="Table"/>
              <w:rPr>
                <w:b/>
              </w:rPr>
            </w:pPr>
            <w:r w:rsidRPr="005E76D2">
              <w:rPr>
                <w:b/>
              </w:rPr>
              <w:t>Foreign entities</w:t>
            </w:r>
          </w:p>
          <w:p w14:paraId="21C1EEE6" w14:textId="77777777" w:rsidR="00272529" w:rsidRPr="005E76D2" w:rsidRDefault="00272529" w:rsidP="00272529">
            <w:pPr>
              <w:pStyle w:val="Table"/>
            </w:pPr>
            <w:r w:rsidRPr="005E76D2">
              <w:t>Include any attributable income in relation to any controlled foreign company or transferor trust</w:t>
            </w:r>
            <w:r>
              <w:t xml:space="preserve"> at this item.</w:t>
            </w:r>
          </w:p>
        </w:tc>
        <w:tc>
          <w:tcPr>
            <w:tcW w:w="1051" w:type="dxa"/>
          </w:tcPr>
          <w:p w14:paraId="27F6A587" w14:textId="77777777" w:rsidR="00272529" w:rsidRPr="005E76D2" w:rsidRDefault="00272529" w:rsidP="00272529">
            <w:pPr>
              <w:pStyle w:val="Table"/>
              <w:jc w:val="center"/>
            </w:pPr>
          </w:p>
        </w:tc>
        <w:tc>
          <w:tcPr>
            <w:tcW w:w="1049" w:type="dxa"/>
          </w:tcPr>
          <w:p w14:paraId="3C390552" w14:textId="77777777" w:rsidR="00272529" w:rsidRPr="005E76D2" w:rsidRDefault="00272529" w:rsidP="00272529">
            <w:pPr>
              <w:pStyle w:val="Table"/>
              <w:jc w:val="center"/>
            </w:pPr>
          </w:p>
        </w:tc>
        <w:tc>
          <w:tcPr>
            <w:tcW w:w="1208" w:type="dxa"/>
          </w:tcPr>
          <w:p w14:paraId="728DF1BE" w14:textId="77777777" w:rsidR="00272529" w:rsidRPr="005E76D2" w:rsidRDefault="00272529" w:rsidP="00272529">
            <w:pPr>
              <w:pStyle w:val="Table"/>
              <w:jc w:val="center"/>
            </w:pPr>
          </w:p>
        </w:tc>
      </w:tr>
      <w:tr w:rsidR="00272529" w:rsidRPr="005E76D2" w14:paraId="275F55C6" w14:textId="77777777" w:rsidTr="00F17C65">
        <w:tc>
          <w:tcPr>
            <w:tcW w:w="1242" w:type="dxa"/>
          </w:tcPr>
          <w:p w14:paraId="286DFF95" w14:textId="77777777" w:rsidR="00272529" w:rsidRPr="005E76D2" w:rsidRDefault="00272529" w:rsidP="00272529">
            <w:pPr>
              <w:pStyle w:val="Table"/>
            </w:pPr>
            <w:r w:rsidRPr="005E76D2">
              <w:t>20</w:t>
            </w:r>
          </w:p>
        </w:tc>
        <w:tc>
          <w:tcPr>
            <w:tcW w:w="5753" w:type="dxa"/>
          </w:tcPr>
          <w:p w14:paraId="1EF2AFA1" w14:textId="77777777" w:rsidR="00272529" w:rsidRPr="005E76D2" w:rsidRDefault="00272529" w:rsidP="00272529">
            <w:pPr>
              <w:pStyle w:val="Table"/>
              <w:rPr>
                <w:b/>
              </w:rPr>
            </w:pPr>
            <w:r w:rsidRPr="005E76D2">
              <w:rPr>
                <w:b/>
              </w:rPr>
              <w:t>Foreign source income and foreign assets or property</w:t>
            </w:r>
          </w:p>
          <w:p w14:paraId="5F486550" w14:textId="77777777" w:rsidR="00272529" w:rsidRPr="005E76D2" w:rsidRDefault="00272529" w:rsidP="00272529">
            <w:pPr>
              <w:pStyle w:val="Table"/>
            </w:pPr>
            <w:r w:rsidRPr="005E76D2">
              <w:t>Obtain details of country, amount received, exchange rate utilised</w:t>
            </w:r>
            <w:r>
              <w:t xml:space="preserve"> and</w:t>
            </w:r>
            <w:r w:rsidRPr="005E76D2">
              <w:t xml:space="preserve"> foreign tax withheld. Care must be shown with foreign source salary and wage income that may be exempt from tax.</w:t>
            </w:r>
          </w:p>
          <w:p w14:paraId="49AA5738" w14:textId="139DB2B9" w:rsidR="00272529" w:rsidRDefault="00272529" w:rsidP="00272529">
            <w:pPr>
              <w:pStyle w:val="Table"/>
              <w:rPr>
                <w:color w:val="000000"/>
                <w:sz w:val="14"/>
                <w:szCs w:val="14"/>
              </w:rPr>
            </w:pPr>
            <w:r w:rsidRPr="00C108A5">
              <w:rPr>
                <w:b/>
                <w:color w:val="000000"/>
                <w:sz w:val="14"/>
                <w:szCs w:val="14"/>
              </w:rPr>
              <w:t>Note</w:t>
            </w:r>
            <w:r w:rsidRPr="00C108A5">
              <w:rPr>
                <w:color w:val="000000"/>
                <w:sz w:val="14"/>
                <w:szCs w:val="14"/>
              </w:rPr>
              <w:t xml:space="preserve">: income derived </w:t>
            </w:r>
            <w:r>
              <w:rPr>
                <w:color w:val="000000"/>
                <w:sz w:val="14"/>
                <w:szCs w:val="14"/>
              </w:rPr>
              <w:t xml:space="preserve">by an Australian resident </w:t>
            </w:r>
            <w:r w:rsidRPr="00C108A5">
              <w:rPr>
                <w:color w:val="000000"/>
                <w:sz w:val="14"/>
                <w:szCs w:val="14"/>
              </w:rPr>
              <w:t xml:space="preserve">from foreign </w:t>
            </w:r>
            <w:r>
              <w:rPr>
                <w:color w:val="000000"/>
                <w:sz w:val="14"/>
                <w:szCs w:val="14"/>
              </w:rPr>
              <w:t>employment</w:t>
            </w:r>
            <w:r w:rsidRPr="00C108A5">
              <w:rPr>
                <w:color w:val="000000"/>
                <w:sz w:val="14"/>
                <w:szCs w:val="14"/>
              </w:rPr>
              <w:t xml:space="preserve"> lasting greater than 91 consecutive days is no longer exempt </w:t>
            </w:r>
            <w:r w:rsidR="00F20C6C">
              <w:rPr>
                <w:color w:val="000000"/>
                <w:sz w:val="14"/>
                <w:szCs w:val="14"/>
              </w:rPr>
              <w:t xml:space="preserve">for an Australian Government employee </w:t>
            </w:r>
            <w:r w:rsidRPr="00C108A5">
              <w:rPr>
                <w:color w:val="000000"/>
                <w:sz w:val="14"/>
                <w:szCs w:val="14"/>
              </w:rPr>
              <w:t xml:space="preserve">unless </w:t>
            </w:r>
            <w:r>
              <w:rPr>
                <w:color w:val="000000"/>
                <w:sz w:val="14"/>
                <w:szCs w:val="14"/>
              </w:rPr>
              <w:t>the client is a member of a disciplined force (</w:t>
            </w:r>
            <w:r w:rsidR="00F20C6C">
              <w:rPr>
                <w:color w:val="000000"/>
                <w:sz w:val="14"/>
                <w:szCs w:val="14"/>
              </w:rPr>
              <w:t>e.g. Australian Defence Force or Australian Federal Police</w:t>
            </w:r>
            <w:r>
              <w:rPr>
                <w:color w:val="000000"/>
                <w:sz w:val="14"/>
                <w:szCs w:val="14"/>
              </w:rPr>
              <w:t>) delivering Australian official development assistance</w:t>
            </w:r>
            <w:r w:rsidRPr="00C108A5">
              <w:rPr>
                <w:color w:val="000000"/>
                <w:sz w:val="14"/>
                <w:szCs w:val="14"/>
              </w:rPr>
              <w:t>.</w:t>
            </w:r>
          </w:p>
          <w:p w14:paraId="7763A63F" w14:textId="5CAE4850" w:rsidR="00272529" w:rsidRPr="00C108A5" w:rsidRDefault="00272529" w:rsidP="00272529">
            <w:pPr>
              <w:pStyle w:val="Table"/>
              <w:rPr>
                <w:color w:val="000000"/>
                <w:sz w:val="14"/>
                <w:szCs w:val="14"/>
              </w:rPr>
            </w:pPr>
            <w:r w:rsidRPr="00C108A5">
              <w:rPr>
                <w:b/>
                <w:color w:val="000000"/>
                <w:sz w:val="14"/>
                <w:szCs w:val="14"/>
              </w:rPr>
              <w:t>Note</w:t>
            </w:r>
            <w:r w:rsidRPr="00C108A5">
              <w:rPr>
                <w:color w:val="000000"/>
                <w:sz w:val="14"/>
                <w:szCs w:val="14"/>
              </w:rPr>
              <w:t xml:space="preserve">: </w:t>
            </w:r>
            <w:r>
              <w:rPr>
                <w:color w:val="000000"/>
                <w:sz w:val="14"/>
                <w:szCs w:val="14"/>
              </w:rPr>
              <w:t>if the client has had any foreign tax paid or withheld from assessable foreign source income (e.g. interest and dividends) it should be added to the amounts received,</w:t>
            </w:r>
          </w:p>
        </w:tc>
        <w:tc>
          <w:tcPr>
            <w:tcW w:w="1051" w:type="dxa"/>
          </w:tcPr>
          <w:p w14:paraId="44EDA636" w14:textId="77777777" w:rsidR="00272529" w:rsidRPr="005E76D2" w:rsidRDefault="00272529" w:rsidP="00272529">
            <w:pPr>
              <w:pStyle w:val="Table"/>
              <w:jc w:val="center"/>
            </w:pPr>
          </w:p>
        </w:tc>
        <w:tc>
          <w:tcPr>
            <w:tcW w:w="1049" w:type="dxa"/>
          </w:tcPr>
          <w:p w14:paraId="6C0E5209" w14:textId="77777777" w:rsidR="00272529" w:rsidRPr="005E76D2" w:rsidRDefault="00272529" w:rsidP="00272529">
            <w:pPr>
              <w:pStyle w:val="Table"/>
              <w:jc w:val="center"/>
            </w:pPr>
          </w:p>
        </w:tc>
        <w:tc>
          <w:tcPr>
            <w:tcW w:w="1208" w:type="dxa"/>
          </w:tcPr>
          <w:p w14:paraId="7C6E1D19" w14:textId="77777777" w:rsidR="00272529" w:rsidRPr="005E76D2" w:rsidRDefault="00272529" w:rsidP="00272529">
            <w:pPr>
              <w:pStyle w:val="Table"/>
              <w:jc w:val="center"/>
            </w:pPr>
          </w:p>
        </w:tc>
      </w:tr>
    </w:tbl>
    <w:p w14:paraId="0F6A52FE" w14:textId="77777777" w:rsidR="00472A73" w:rsidRDefault="00472A73"/>
    <w:p w14:paraId="7CFE8760" w14:textId="77777777" w:rsidR="00472A73" w:rsidRDefault="00472A7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2F4A49" w:rsidRPr="005E76D2" w14:paraId="08F02AE5" w14:textId="77777777" w:rsidTr="00065325">
        <w:tc>
          <w:tcPr>
            <w:tcW w:w="1242" w:type="dxa"/>
            <w:shd w:val="clear" w:color="auto" w:fill="051C3C"/>
          </w:tcPr>
          <w:p w14:paraId="4B9C7B6A" w14:textId="77777777" w:rsidR="002F4A49" w:rsidRPr="006F61C9" w:rsidRDefault="002F4A49" w:rsidP="00FC73FA">
            <w:pPr>
              <w:pStyle w:val="Table"/>
              <w:rPr>
                <w:b/>
              </w:rPr>
            </w:pPr>
            <w:r w:rsidRPr="006F61C9">
              <w:rPr>
                <w:b/>
              </w:rPr>
              <w:t>Tax Return Reference</w:t>
            </w:r>
          </w:p>
        </w:tc>
        <w:tc>
          <w:tcPr>
            <w:tcW w:w="5753" w:type="dxa"/>
            <w:shd w:val="clear" w:color="auto" w:fill="051C3C"/>
          </w:tcPr>
          <w:p w14:paraId="4D376FFE" w14:textId="77777777" w:rsidR="002F4A49" w:rsidRPr="006F61C9" w:rsidRDefault="002F4A49" w:rsidP="00FC73FA">
            <w:pPr>
              <w:pStyle w:val="Table"/>
              <w:rPr>
                <w:b/>
              </w:rPr>
            </w:pPr>
            <w:r w:rsidRPr="006F61C9">
              <w:rPr>
                <w:b/>
              </w:rPr>
              <w:t>Section of the Income Tax Return</w:t>
            </w:r>
          </w:p>
        </w:tc>
        <w:tc>
          <w:tcPr>
            <w:tcW w:w="1051" w:type="dxa"/>
            <w:shd w:val="clear" w:color="auto" w:fill="051C3C"/>
          </w:tcPr>
          <w:p w14:paraId="62D03EFC" w14:textId="77777777" w:rsidR="002F4A49" w:rsidRPr="006F61C9" w:rsidRDefault="002F4A49" w:rsidP="00FC1E35">
            <w:pPr>
              <w:pStyle w:val="Table"/>
              <w:jc w:val="center"/>
              <w:rPr>
                <w:b/>
              </w:rPr>
            </w:pPr>
            <w:r w:rsidRPr="006F61C9">
              <w:rPr>
                <w:b/>
              </w:rPr>
              <w:t>Column 1</w:t>
            </w:r>
          </w:p>
          <w:p w14:paraId="6A0D2FF9" w14:textId="77777777" w:rsidR="002F4A49" w:rsidRPr="006F61C9" w:rsidRDefault="002F4A49" w:rsidP="002F4A49">
            <w:pPr>
              <w:pStyle w:val="Table"/>
              <w:jc w:val="center"/>
              <w:rPr>
                <w:b/>
              </w:rPr>
            </w:pPr>
            <w:r w:rsidRPr="006F61C9">
              <w:rPr>
                <w:b/>
              </w:rPr>
              <w:t>(A) (S) (N/A)</w:t>
            </w:r>
          </w:p>
        </w:tc>
        <w:tc>
          <w:tcPr>
            <w:tcW w:w="1049" w:type="dxa"/>
            <w:shd w:val="clear" w:color="auto" w:fill="051C3C"/>
          </w:tcPr>
          <w:p w14:paraId="16F648EA" w14:textId="77777777" w:rsidR="002F4A49" w:rsidRPr="006F61C9" w:rsidRDefault="002F4A49" w:rsidP="00FC1E35">
            <w:pPr>
              <w:pStyle w:val="Table"/>
              <w:jc w:val="center"/>
              <w:rPr>
                <w:b/>
              </w:rPr>
            </w:pPr>
            <w:r w:rsidRPr="006F61C9">
              <w:rPr>
                <w:b/>
              </w:rPr>
              <w:t>Column 2</w:t>
            </w:r>
          </w:p>
          <w:p w14:paraId="0157EA3D" w14:textId="77777777" w:rsidR="006F61C9" w:rsidRPr="006F61C9" w:rsidRDefault="006F61C9" w:rsidP="00FC1E35">
            <w:pPr>
              <w:pStyle w:val="Table"/>
              <w:jc w:val="center"/>
              <w:rPr>
                <w:b/>
              </w:rPr>
            </w:pPr>
            <w:r w:rsidRPr="006F61C9">
              <w:rPr>
                <w:b/>
              </w:rPr>
              <w:t>WP</w:t>
            </w:r>
          </w:p>
          <w:p w14:paraId="24C1E69A" w14:textId="77777777" w:rsidR="006F61C9" w:rsidRPr="006F61C9" w:rsidRDefault="006F61C9" w:rsidP="006F61C9">
            <w:pPr>
              <w:pStyle w:val="Table"/>
              <w:jc w:val="center"/>
              <w:rPr>
                <w:b/>
              </w:rPr>
            </w:pPr>
            <w:r w:rsidRPr="006F61C9">
              <w:rPr>
                <w:b/>
              </w:rPr>
              <w:t>(Y or N)</w:t>
            </w:r>
          </w:p>
        </w:tc>
        <w:tc>
          <w:tcPr>
            <w:tcW w:w="1208" w:type="dxa"/>
            <w:shd w:val="clear" w:color="auto" w:fill="051C3C"/>
          </w:tcPr>
          <w:p w14:paraId="3DB85D84" w14:textId="77777777" w:rsidR="002F4A49" w:rsidRPr="006F61C9" w:rsidRDefault="002F4A49" w:rsidP="00FC1E35">
            <w:pPr>
              <w:pStyle w:val="Table"/>
              <w:jc w:val="center"/>
              <w:rPr>
                <w:b/>
              </w:rPr>
            </w:pPr>
            <w:r w:rsidRPr="006F61C9">
              <w:rPr>
                <w:b/>
              </w:rPr>
              <w:t>Column 3</w:t>
            </w:r>
          </w:p>
          <w:p w14:paraId="64E85F70" w14:textId="77777777" w:rsidR="006F61C9" w:rsidRPr="006F61C9" w:rsidRDefault="006F61C9" w:rsidP="00FC1E35">
            <w:pPr>
              <w:pStyle w:val="Table"/>
              <w:jc w:val="center"/>
              <w:rPr>
                <w:b/>
              </w:rPr>
            </w:pPr>
            <w:r w:rsidRPr="006F61C9">
              <w:rPr>
                <w:b/>
              </w:rPr>
              <w:t>Attachment</w:t>
            </w:r>
          </w:p>
          <w:p w14:paraId="41A242F9" w14:textId="77777777" w:rsidR="006F61C9" w:rsidRPr="006F61C9" w:rsidRDefault="006F61C9" w:rsidP="00FC1E35">
            <w:pPr>
              <w:pStyle w:val="Table"/>
              <w:jc w:val="center"/>
              <w:rPr>
                <w:b/>
              </w:rPr>
            </w:pPr>
            <w:r w:rsidRPr="006F61C9">
              <w:rPr>
                <w:b/>
              </w:rPr>
              <w:t>(Y or N)</w:t>
            </w:r>
          </w:p>
        </w:tc>
      </w:tr>
      <w:tr w:rsidR="00862CC3" w:rsidRPr="005E76D2" w14:paraId="1E158EED" w14:textId="77777777" w:rsidTr="00862CC3">
        <w:tc>
          <w:tcPr>
            <w:tcW w:w="10303" w:type="dxa"/>
            <w:gridSpan w:val="5"/>
            <w:shd w:val="clear" w:color="auto" w:fill="D9D9D9" w:themeFill="background1" w:themeFillShade="D9"/>
            <w:vAlign w:val="center"/>
          </w:tcPr>
          <w:p w14:paraId="00AA3DE8" w14:textId="77777777" w:rsidR="00862CC3" w:rsidRPr="00AF24CF" w:rsidRDefault="00862CC3" w:rsidP="00B705C8">
            <w:pPr>
              <w:pStyle w:val="Tableheading"/>
            </w:pPr>
            <w:r w:rsidRPr="005E76D2">
              <w:t>Supplement Income or Loss</w:t>
            </w:r>
            <w:r w:rsidRPr="00540F80">
              <w:t xml:space="preserve"> </w:t>
            </w:r>
            <w:r w:rsidRPr="00862CC3">
              <w:rPr>
                <w:b w:val="0"/>
              </w:rPr>
              <w:t>(continued)</w:t>
            </w:r>
          </w:p>
        </w:tc>
      </w:tr>
      <w:tr w:rsidR="00862CC3" w:rsidRPr="005E76D2" w14:paraId="21BC1861" w14:textId="77777777" w:rsidTr="00F17C65">
        <w:tc>
          <w:tcPr>
            <w:tcW w:w="1242" w:type="dxa"/>
          </w:tcPr>
          <w:p w14:paraId="3C18E2EE" w14:textId="77777777" w:rsidR="00862CC3" w:rsidRPr="005E76D2" w:rsidRDefault="00862CC3" w:rsidP="00FC73FA">
            <w:pPr>
              <w:pStyle w:val="Table"/>
            </w:pPr>
            <w:r>
              <w:t>21</w:t>
            </w:r>
          </w:p>
        </w:tc>
        <w:tc>
          <w:tcPr>
            <w:tcW w:w="5753" w:type="dxa"/>
          </w:tcPr>
          <w:p w14:paraId="21C698B8" w14:textId="77777777" w:rsidR="00862CC3" w:rsidRPr="005E76D2" w:rsidRDefault="00862CC3" w:rsidP="002C3643">
            <w:pPr>
              <w:pStyle w:val="Table"/>
              <w:rPr>
                <w:b/>
              </w:rPr>
            </w:pPr>
            <w:r w:rsidRPr="005E76D2">
              <w:rPr>
                <w:b/>
              </w:rPr>
              <w:t>Rent</w:t>
            </w:r>
          </w:p>
          <w:p w14:paraId="5ADD9B51" w14:textId="77777777" w:rsidR="00862CC3" w:rsidRPr="005E76D2" w:rsidRDefault="00862CC3" w:rsidP="002C3643">
            <w:pPr>
              <w:pStyle w:val="Table"/>
            </w:pPr>
            <w:r w:rsidRPr="005E76D2">
              <w:t>Obtain details of:</w:t>
            </w:r>
          </w:p>
          <w:p w14:paraId="029C4F6A" w14:textId="77777777" w:rsidR="00862CC3" w:rsidRPr="005E76D2" w:rsidRDefault="00862CC3" w:rsidP="002C3643">
            <w:pPr>
              <w:pStyle w:val="TableBullet"/>
              <w:numPr>
                <w:ilvl w:val="0"/>
                <w:numId w:val="15"/>
              </w:numPr>
            </w:pPr>
            <w:r w:rsidRPr="005E76D2">
              <w:t>rental income earned</w:t>
            </w:r>
          </w:p>
          <w:p w14:paraId="419F58F2" w14:textId="77777777" w:rsidR="00862CC3" w:rsidRPr="005E76D2" w:rsidRDefault="00862CC3" w:rsidP="002C3643">
            <w:pPr>
              <w:pStyle w:val="TableBullet"/>
              <w:numPr>
                <w:ilvl w:val="0"/>
                <w:numId w:val="15"/>
              </w:numPr>
            </w:pPr>
            <w:r w:rsidRPr="005E76D2">
              <w:t>interest charged on money borrowed for the rental property</w:t>
            </w:r>
          </w:p>
          <w:p w14:paraId="192401AD" w14:textId="77777777" w:rsidR="00862CC3" w:rsidRPr="005E76D2" w:rsidRDefault="00862CC3" w:rsidP="002C3643">
            <w:pPr>
              <w:pStyle w:val="TableBullet"/>
              <w:numPr>
                <w:ilvl w:val="0"/>
                <w:numId w:val="15"/>
              </w:numPr>
            </w:pPr>
            <w:r w:rsidRPr="005E76D2">
              <w:t>details of other expenses relating to the rental property</w:t>
            </w:r>
          </w:p>
          <w:p w14:paraId="15611873" w14:textId="77777777" w:rsidR="00862CC3" w:rsidRPr="005E76D2" w:rsidRDefault="00862CC3" w:rsidP="002C3643">
            <w:pPr>
              <w:pStyle w:val="TableBullet"/>
              <w:numPr>
                <w:ilvl w:val="0"/>
                <w:numId w:val="15"/>
              </w:numPr>
            </w:pPr>
            <w:proofErr w:type="gramStart"/>
            <w:r w:rsidRPr="005E76D2">
              <w:t>details</w:t>
            </w:r>
            <w:proofErr w:type="gramEnd"/>
            <w:r w:rsidRPr="005E76D2">
              <w:t xml:space="preserve"> of any capital works expenditure to the rental property.</w:t>
            </w:r>
          </w:p>
          <w:p w14:paraId="48F3BC02" w14:textId="77777777" w:rsidR="00862CC3" w:rsidRPr="005E76D2" w:rsidRDefault="00862CC3" w:rsidP="002C3643">
            <w:pPr>
              <w:pStyle w:val="Table"/>
            </w:pPr>
            <w:r w:rsidRPr="005E76D2">
              <w:t>Borrowing costs are claimed over the life of the loan or five years, whichever is the lesser.</w:t>
            </w:r>
          </w:p>
          <w:p w14:paraId="49807676" w14:textId="77777777" w:rsidR="00862CC3" w:rsidRPr="005E76D2" w:rsidRDefault="00862CC3" w:rsidP="002C3643">
            <w:pPr>
              <w:pStyle w:val="Table"/>
            </w:pPr>
            <w:r w:rsidRPr="005E76D2">
              <w:t>Assess whether the client can claim a deduction for the construction costs of the property, or any structural improvements.</w:t>
            </w:r>
          </w:p>
          <w:p w14:paraId="602F1D55" w14:textId="0B2200D5" w:rsidR="00862CC3" w:rsidRDefault="00F24E6E" w:rsidP="00312E24">
            <w:pPr>
              <w:pStyle w:val="Table"/>
              <w:rPr>
                <w:color w:val="000000"/>
                <w:sz w:val="14"/>
                <w:szCs w:val="14"/>
              </w:rPr>
            </w:pPr>
            <w:r>
              <w:rPr>
                <w:b/>
                <w:color w:val="000000"/>
                <w:sz w:val="14"/>
                <w:szCs w:val="14"/>
              </w:rPr>
              <w:t>Note</w:t>
            </w:r>
            <w:r w:rsidR="00862CC3" w:rsidRPr="00C108A5">
              <w:rPr>
                <w:b/>
                <w:color w:val="000000"/>
                <w:sz w:val="14"/>
                <w:szCs w:val="14"/>
              </w:rPr>
              <w:t>:</w:t>
            </w:r>
            <w:r w:rsidR="00862CC3" w:rsidRPr="00C108A5">
              <w:rPr>
                <w:color w:val="000000"/>
                <w:sz w:val="14"/>
                <w:szCs w:val="14"/>
              </w:rPr>
              <w:t xml:space="preserve"> for more information on this topic refer to the CPA Australia </w:t>
            </w:r>
            <w:hyperlink r:id="rId15" w:history="1">
              <w:r w:rsidR="002A1BD1" w:rsidRPr="0031122F">
                <w:rPr>
                  <w:rStyle w:val="Hyperlink"/>
                  <w:sz w:val="14"/>
                  <w:szCs w:val="14"/>
                </w:rPr>
                <w:t>201</w:t>
              </w:r>
              <w:r w:rsidR="00312E24" w:rsidRPr="0031122F">
                <w:rPr>
                  <w:rStyle w:val="Hyperlink"/>
                  <w:sz w:val="14"/>
                  <w:szCs w:val="14"/>
                </w:rPr>
                <w:t>7</w:t>
              </w:r>
              <w:r w:rsidR="002A1BD1" w:rsidRPr="0031122F">
                <w:rPr>
                  <w:rStyle w:val="Hyperlink"/>
                  <w:sz w:val="14"/>
                  <w:szCs w:val="14"/>
                </w:rPr>
                <w:t xml:space="preserve"> R</w:t>
              </w:r>
              <w:r w:rsidR="00862CC3" w:rsidRPr="0031122F">
                <w:rPr>
                  <w:rStyle w:val="Hyperlink"/>
                  <w:sz w:val="14"/>
                  <w:szCs w:val="14"/>
                </w:rPr>
                <w:t>esidential rental property checklist</w:t>
              </w:r>
            </w:hyperlink>
            <w:r w:rsidR="00862CC3" w:rsidRPr="00C108A5">
              <w:rPr>
                <w:color w:val="000000"/>
                <w:sz w:val="14"/>
                <w:szCs w:val="14"/>
              </w:rPr>
              <w:t>.</w:t>
            </w:r>
          </w:p>
          <w:p w14:paraId="61FC93A0" w14:textId="5073945C" w:rsidR="000662ED" w:rsidRDefault="000662ED" w:rsidP="00312E24">
            <w:pPr>
              <w:pStyle w:val="Table"/>
              <w:rPr>
                <w:color w:val="000000"/>
                <w:sz w:val="14"/>
                <w:szCs w:val="14"/>
              </w:rPr>
            </w:pPr>
            <w:r w:rsidRPr="00BB7910">
              <w:rPr>
                <w:b/>
                <w:color w:val="000000"/>
                <w:sz w:val="14"/>
                <w:szCs w:val="14"/>
              </w:rPr>
              <w:t xml:space="preserve">Note: </w:t>
            </w:r>
            <w:r>
              <w:rPr>
                <w:color w:val="000000"/>
                <w:sz w:val="14"/>
                <w:szCs w:val="14"/>
              </w:rPr>
              <w:t>the ATO has advised that it is paying particular attention to</w:t>
            </w:r>
            <w:r w:rsidR="00A97829">
              <w:rPr>
                <w:color w:val="000000"/>
                <w:sz w:val="14"/>
                <w:szCs w:val="14"/>
              </w:rPr>
              <w:t>:</w:t>
            </w:r>
            <w:r>
              <w:rPr>
                <w:color w:val="000000"/>
                <w:sz w:val="14"/>
                <w:szCs w:val="14"/>
              </w:rPr>
              <w:t xml:space="preserve"> the basis on which rental income and expenses is apportioned between property owners; deductions being claimed for initial repairs which should be included in the cost base of the rental property for capital gains tax purposes; excessive rental interest expense claims; holiday homes that are not genuinely available for rent</w:t>
            </w:r>
            <w:r w:rsidR="00A97829">
              <w:rPr>
                <w:color w:val="000000"/>
                <w:sz w:val="14"/>
                <w:szCs w:val="14"/>
              </w:rPr>
              <w:t>;</w:t>
            </w:r>
            <w:r>
              <w:rPr>
                <w:color w:val="000000"/>
                <w:sz w:val="14"/>
                <w:szCs w:val="14"/>
              </w:rPr>
              <w:t xml:space="preserve"> and non-commercial rental agreements.  </w:t>
            </w:r>
          </w:p>
          <w:p w14:paraId="604D6F9F" w14:textId="0BD38181" w:rsidR="0022417C" w:rsidRPr="00BB7910" w:rsidRDefault="0022417C" w:rsidP="00312E24">
            <w:pPr>
              <w:pStyle w:val="Table"/>
              <w:rPr>
                <w:sz w:val="14"/>
                <w:szCs w:val="14"/>
              </w:rPr>
            </w:pPr>
            <w:r w:rsidRPr="006F1C5C">
              <w:rPr>
                <w:b/>
                <w:color w:val="000000"/>
                <w:sz w:val="14"/>
                <w:szCs w:val="14"/>
              </w:rPr>
              <w:t xml:space="preserve">Note: </w:t>
            </w:r>
            <w:r w:rsidR="00EF30AA" w:rsidRPr="00BB7910">
              <w:rPr>
                <w:color w:val="000000"/>
                <w:sz w:val="14"/>
                <w:szCs w:val="14"/>
              </w:rPr>
              <w:t>any net rental income or loss on a foreign property should be included at Item 20</w:t>
            </w:r>
            <w:r w:rsidR="00EF30AA">
              <w:rPr>
                <w:color w:val="000000"/>
                <w:sz w:val="14"/>
                <w:szCs w:val="14"/>
              </w:rPr>
              <w:t>.</w:t>
            </w:r>
          </w:p>
        </w:tc>
        <w:tc>
          <w:tcPr>
            <w:tcW w:w="1051" w:type="dxa"/>
          </w:tcPr>
          <w:p w14:paraId="15C0100A" w14:textId="77777777" w:rsidR="00862CC3" w:rsidRPr="005E76D2" w:rsidRDefault="00862CC3" w:rsidP="00FC1E35">
            <w:pPr>
              <w:pStyle w:val="Table"/>
              <w:jc w:val="center"/>
            </w:pPr>
          </w:p>
        </w:tc>
        <w:tc>
          <w:tcPr>
            <w:tcW w:w="1049" w:type="dxa"/>
          </w:tcPr>
          <w:p w14:paraId="04340AFB" w14:textId="77777777" w:rsidR="00862CC3" w:rsidRPr="005E76D2" w:rsidRDefault="00862CC3" w:rsidP="00FC1E35">
            <w:pPr>
              <w:pStyle w:val="Table"/>
              <w:jc w:val="center"/>
            </w:pPr>
          </w:p>
        </w:tc>
        <w:tc>
          <w:tcPr>
            <w:tcW w:w="1208" w:type="dxa"/>
          </w:tcPr>
          <w:p w14:paraId="5B95ED43" w14:textId="77777777" w:rsidR="00862CC3" w:rsidRPr="005E76D2" w:rsidRDefault="00862CC3" w:rsidP="00FC1E35">
            <w:pPr>
              <w:pStyle w:val="Table"/>
              <w:jc w:val="center"/>
            </w:pPr>
          </w:p>
        </w:tc>
      </w:tr>
      <w:tr w:rsidR="00862CC3" w:rsidRPr="005E76D2" w14:paraId="05B75745" w14:textId="77777777" w:rsidTr="00F17C65">
        <w:tc>
          <w:tcPr>
            <w:tcW w:w="1242" w:type="dxa"/>
          </w:tcPr>
          <w:p w14:paraId="48001070" w14:textId="77777777" w:rsidR="00862CC3" w:rsidRPr="005E76D2" w:rsidRDefault="00862CC3" w:rsidP="00FC73FA">
            <w:pPr>
              <w:pStyle w:val="Table"/>
            </w:pPr>
            <w:r w:rsidRPr="005E76D2">
              <w:t>22</w:t>
            </w:r>
          </w:p>
        </w:tc>
        <w:tc>
          <w:tcPr>
            <w:tcW w:w="5753" w:type="dxa"/>
          </w:tcPr>
          <w:p w14:paraId="4583724D" w14:textId="77777777" w:rsidR="00862CC3" w:rsidRPr="005E76D2" w:rsidRDefault="00862CC3" w:rsidP="00FC73FA">
            <w:pPr>
              <w:pStyle w:val="Table"/>
              <w:rPr>
                <w:b/>
              </w:rPr>
            </w:pPr>
            <w:r w:rsidRPr="005E76D2">
              <w:rPr>
                <w:b/>
              </w:rPr>
              <w:t>Bonuses from life companies and friendly societies</w:t>
            </w:r>
          </w:p>
          <w:p w14:paraId="5EC4D71A" w14:textId="319E49A1" w:rsidR="00862CC3" w:rsidRPr="005E76D2" w:rsidRDefault="00862CC3" w:rsidP="00FC73FA">
            <w:pPr>
              <w:pStyle w:val="Table"/>
            </w:pPr>
            <w:r w:rsidRPr="005E76D2">
              <w:t>Obtain documentation regarding bonuses received on insurance bonds issued by life insurers and friendly societies. Bonuses are tax free if cashed in after 10 years. If not, the bonuses may be taxable and a</w:t>
            </w:r>
            <w:r w:rsidR="007E0A9F">
              <w:t>n offset may be available which will be calculated by the ATO</w:t>
            </w:r>
            <w:r w:rsidRPr="005E76D2">
              <w:t>.</w:t>
            </w:r>
          </w:p>
        </w:tc>
        <w:tc>
          <w:tcPr>
            <w:tcW w:w="1051" w:type="dxa"/>
          </w:tcPr>
          <w:p w14:paraId="407CE633" w14:textId="77777777" w:rsidR="00862CC3" w:rsidRPr="005E76D2" w:rsidRDefault="00862CC3" w:rsidP="00FC1E35">
            <w:pPr>
              <w:pStyle w:val="Table"/>
              <w:jc w:val="center"/>
            </w:pPr>
          </w:p>
        </w:tc>
        <w:tc>
          <w:tcPr>
            <w:tcW w:w="1049" w:type="dxa"/>
          </w:tcPr>
          <w:p w14:paraId="1297FFA2" w14:textId="77777777" w:rsidR="00862CC3" w:rsidRPr="005E76D2" w:rsidRDefault="00862CC3" w:rsidP="00FC1E35">
            <w:pPr>
              <w:pStyle w:val="Table"/>
              <w:jc w:val="center"/>
            </w:pPr>
          </w:p>
        </w:tc>
        <w:tc>
          <w:tcPr>
            <w:tcW w:w="1208" w:type="dxa"/>
          </w:tcPr>
          <w:p w14:paraId="6C3699CE" w14:textId="77777777" w:rsidR="00862CC3" w:rsidRPr="005E76D2" w:rsidRDefault="00862CC3" w:rsidP="00FC1E35">
            <w:pPr>
              <w:pStyle w:val="Table"/>
              <w:jc w:val="center"/>
            </w:pPr>
          </w:p>
        </w:tc>
      </w:tr>
      <w:tr w:rsidR="00862CC3" w:rsidRPr="005E76D2" w14:paraId="715D25E8" w14:textId="77777777" w:rsidTr="00F17C65">
        <w:tc>
          <w:tcPr>
            <w:tcW w:w="1242" w:type="dxa"/>
          </w:tcPr>
          <w:p w14:paraId="659BA70A" w14:textId="77777777" w:rsidR="00862CC3" w:rsidRPr="005E76D2" w:rsidRDefault="00862CC3" w:rsidP="00F17C65">
            <w:pPr>
              <w:pStyle w:val="Table"/>
              <w:keepNext/>
            </w:pPr>
            <w:r w:rsidRPr="005E76D2">
              <w:t>23</w:t>
            </w:r>
          </w:p>
        </w:tc>
        <w:tc>
          <w:tcPr>
            <w:tcW w:w="5753" w:type="dxa"/>
          </w:tcPr>
          <w:p w14:paraId="1F641495" w14:textId="77777777" w:rsidR="00862CC3" w:rsidRPr="005E76D2" w:rsidRDefault="00862CC3" w:rsidP="00F17C65">
            <w:pPr>
              <w:pStyle w:val="Table"/>
              <w:keepNext/>
              <w:rPr>
                <w:b/>
              </w:rPr>
            </w:pPr>
            <w:r w:rsidRPr="005E76D2">
              <w:rPr>
                <w:b/>
              </w:rPr>
              <w:t>Forestry managed investment scheme</w:t>
            </w:r>
            <w:r>
              <w:rPr>
                <w:b/>
              </w:rPr>
              <w:t xml:space="preserve"> (FMIS)</w:t>
            </w:r>
            <w:r w:rsidRPr="005E76D2">
              <w:rPr>
                <w:b/>
              </w:rPr>
              <w:t xml:space="preserve"> income</w:t>
            </w:r>
          </w:p>
          <w:p w14:paraId="561A3D7D" w14:textId="77777777" w:rsidR="00991D12" w:rsidRDefault="00862CC3" w:rsidP="00991D12">
            <w:pPr>
              <w:pStyle w:val="Table"/>
            </w:pPr>
            <w:r>
              <w:t xml:space="preserve">Check with the client whether they have received income from a FMIS. </w:t>
            </w:r>
            <w:r w:rsidR="00991D12">
              <w:t>Separate rules apply to initial and subsequent participants in qualifying schemes.</w:t>
            </w:r>
          </w:p>
          <w:p w14:paraId="5D766BD3" w14:textId="41DA8207" w:rsidR="00862CC3" w:rsidRPr="00BB7910" w:rsidRDefault="00B62483" w:rsidP="0031122F">
            <w:pPr>
              <w:pStyle w:val="Table"/>
              <w:keepNext/>
              <w:rPr>
                <w:sz w:val="14"/>
                <w:szCs w:val="14"/>
              </w:rPr>
            </w:pPr>
            <w:r w:rsidRPr="00BB7910">
              <w:rPr>
                <w:b/>
                <w:sz w:val="14"/>
                <w:szCs w:val="14"/>
              </w:rPr>
              <w:t>Note</w:t>
            </w:r>
            <w:r w:rsidRPr="00BB7910">
              <w:rPr>
                <w:sz w:val="14"/>
                <w:szCs w:val="14"/>
              </w:rPr>
              <w:t>: further details on</w:t>
            </w:r>
            <w:r w:rsidR="007C1EF5" w:rsidRPr="00BB7910">
              <w:rPr>
                <w:sz w:val="14"/>
                <w:szCs w:val="14"/>
              </w:rPr>
              <w:t xml:space="preserve"> the FMIS rules are summarised </w:t>
            </w:r>
            <w:r w:rsidR="0031122F">
              <w:rPr>
                <w:sz w:val="14"/>
                <w:szCs w:val="14"/>
              </w:rPr>
              <w:t xml:space="preserve">on the </w:t>
            </w:r>
            <w:hyperlink r:id="rId16" w:history="1">
              <w:r w:rsidR="0031122F" w:rsidRPr="0031122F">
                <w:rPr>
                  <w:rStyle w:val="Hyperlink"/>
                  <w:sz w:val="14"/>
                  <w:szCs w:val="14"/>
                </w:rPr>
                <w:t>ATO website</w:t>
              </w:r>
            </w:hyperlink>
            <w:r w:rsidR="0031122F">
              <w:rPr>
                <w:sz w:val="14"/>
                <w:szCs w:val="14"/>
              </w:rPr>
              <w:t>.</w:t>
            </w:r>
          </w:p>
        </w:tc>
        <w:tc>
          <w:tcPr>
            <w:tcW w:w="1051" w:type="dxa"/>
          </w:tcPr>
          <w:p w14:paraId="2313535F" w14:textId="77777777" w:rsidR="00862CC3" w:rsidRPr="005E76D2" w:rsidRDefault="00862CC3" w:rsidP="00FC1E35">
            <w:pPr>
              <w:pStyle w:val="Table"/>
              <w:keepNext/>
              <w:jc w:val="center"/>
            </w:pPr>
          </w:p>
        </w:tc>
        <w:tc>
          <w:tcPr>
            <w:tcW w:w="1049" w:type="dxa"/>
          </w:tcPr>
          <w:p w14:paraId="3772358F" w14:textId="77777777" w:rsidR="00862CC3" w:rsidRPr="005E76D2" w:rsidRDefault="00862CC3" w:rsidP="00FC1E35">
            <w:pPr>
              <w:pStyle w:val="Table"/>
              <w:keepNext/>
              <w:jc w:val="center"/>
            </w:pPr>
          </w:p>
        </w:tc>
        <w:tc>
          <w:tcPr>
            <w:tcW w:w="1208" w:type="dxa"/>
          </w:tcPr>
          <w:p w14:paraId="337D84D1" w14:textId="77777777" w:rsidR="00862CC3" w:rsidRPr="005E76D2" w:rsidRDefault="00862CC3" w:rsidP="00FC1E35">
            <w:pPr>
              <w:pStyle w:val="Table"/>
              <w:keepNext/>
              <w:jc w:val="center"/>
            </w:pPr>
          </w:p>
        </w:tc>
      </w:tr>
      <w:tr w:rsidR="00862CC3" w:rsidRPr="005E76D2" w14:paraId="60C3DFFB" w14:textId="77777777" w:rsidTr="00065325">
        <w:tc>
          <w:tcPr>
            <w:tcW w:w="1242" w:type="dxa"/>
            <w:tcBorders>
              <w:bottom w:val="single" w:sz="4" w:space="0" w:color="939598"/>
            </w:tcBorders>
          </w:tcPr>
          <w:p w14:paraId="1D842946" w14:textId="77777777" w:rsidR="00862CC3" w:rsidRPr="005E76D2" w:rsidRDefault="00862CC3" w:rsidP="00FC73FA">
            <w:pPr>
              <w:pStyle w:val="Table"/>
            </w:pPr>
            <w:r w:rsidRPr="005E76D2">
              <w:t>24</w:t>
            </w:r>
          </w:p>
        </w:tc>
        <w:tc>
          <w:tcPr>
            <w:tcW w:w="5753" w:type="dxa"/>
            <w:tcBorders>
              <w:bottom w:val="single" w:sz="4" w:space="0" w:color="939598"/>
            </w:tcBorders>
          </w:tcPr>
          <w:p w14:paraId="72301CCC" w14:textId="77777777" w:rsidR="00862CC3" w:rsidRPr="005E76D2" w:rsidRDefault="00862CC3" w:rsidP="00FC73FA">
            <w:pPr>
              <w:pStyle w:val="Table"/>
              <w:rPr>
                <w:b/>
              </w:rPr>
            </w:pPr>
            <w:r w:rsidRPr="005E76D2">
              <w:rPr>
                <w:b/>
              </w:rPr>
              <w:t>Other income</w:t>
            </w:r>
          </w:p>
          <w:p w14:paraId="3ACDAB0E" w14:textId="77777777" w:rsidR="00862CC3" w:rsidRPr="005E76D2" w:rsidRDefault="00862CC3" w:rsidP="00FC73FA">
            <w:pPr>
              <w:pStyle w:val="Table"/>
            </w:pPr>
            <w:r w:rsidRPr="005E76D2">
              <w:t>Ask the client whether they received any other benefit / income during the year that has not been discussed. Examples include:</w:t>
            </w:r>
          </w:p>
          <w:p w14:paraId="3FE57B87" w14:textId="531AAC12" w:rsidR="00862CC3" w:rsidRPr="005E76D2" w:rsidRDefault="00B27FC9" w:rsidP="003D6B93">
            <w:pPr>
              <w:pStyle w:val="TableBullet"/>
              <w:numPr>
                <w:ilvl w:val="0"/>
                <w:numId w:val="15"/>
              </w:numPr>
            </w:pPr>
            <w:r>
              <w:t xml:space="preserve">certain </w:t>
            </w:r>
            <w:r w:rsidR="00862CC3" w:rsidRPr="005E76D2">
              <w:t>lump sum payments in arrears</w:t>
            </w:r>
          </w:p>
          <w:p w14:paraId="61C0C2FB" w14:textId="77777777" w:rsidR="00862CC3" w:rsidRPr="005E76D2" w:rsidRDefault="00862CC3" w:rsidP="003D6B93">
            <w:pPr>
              <w:pStyle w:val="TableBullet"/>
              <w:numPr>
                <w:ilvl w:val="0"/>
                <w:numId w:val="15"/>
              </w:numPr>
            </w:pPr>
            <w:r w:rsidRPr="005E76D2">
              <w:t>foreign exchange gains</w:t>
            </w:r>
          </w:p>
          <w:p w14:paraId="3B050853" w14:textId="77777777" w:rsidR="00862CC3" w:rsidRPr="005E76D2" w:rsidRDefault="00862CC3" w:rsidP="003D6B93">
            <w:pPr>
              <w:pStyle w:val="TableBullet"/>
              <w:numPr>
                <w:ilvl w:val="0"/>
                <w:numId w:val="15"/>
              </w:numPr>
            </w:pPr>
            <w:r w:rsidRPr="005E76D2">
              <w:t>royalties</w:t>
            </w:r>
          </w:p>
          <w:p w14:paraId="4B1D3CA1" w14:textId="77777777" w:rsidR="00862CC3" w:rsidRPr="005E76D2" w:rsidRDefault="00862CC3" w:rsidP="007F0B9E">
            <w:pPr>
              <w:pStyle w:val="TableBullet"/>
              <w:numPr>
                <w:ilvl w:val="0"/>
                <w:numId w:val="15"/>
              </w:numPr>
            </w:pPr>
            <w:r>
              <w:t xml:space="preserve">taxable </w:t>
            </w:r>
            <w:r w:rsidRPr="005E76D2">
              <w:t>scholarships, bursaries</w:t>
            </w:r>
            <w:r>
              <w:t xml:space="preserve"> or</w:t>
            </w:r>
            <w:r w:rsidRPr="005E76D2">
              <w:t xml:space="preserve"> grants</w:t>
            </w:r>
          </w:p>
          <w:p w14:paraId="3BABDC95" w14:textId="77777777" w:rsidR="00862CC3" w:rsidRPr="005E76D2" w:rsidRDefault="00862CC3" w:rsidP="003D6B93">
            <w:pPr>
              <w:pStyle w:val="TableBullet"/>
              <w:numPr>
                <w:ilvl w:val="0"/>
                <w:numId w:val="15"/>
              </w:numPr>
            </w:pPr>
            <w:r w:rsidRPr="005E76D2">
              <w:t>any assessable balancing adjustments on depreciating assets</w:t>
            </w:r>
          </w:p>
          <w:p w14:paraId="4B3A0FC7" w14:textId="77777777" w:rsidR="00862CC3" w:rsidRPr="005E76D2" w:rsidRDefault="00862CC3" w:rsidP="003D6B93">
            <w:pPr>
              <w:pStyle w:val="TableBullet"/>
              <w:numPr>
                <w:ilvl w:val="0"/>
                <w:numId w:val="15"/>
              </w:numPr>
            </w:pPr>
            <w:proofErr w:type="gramStart"/>
            <w:r w:rsidRPr="005E76D2">
              <w:t>jury</w:t>
            </w:r>
            <w:proofErr w:type="gramEnd"/>
            <w:r w:rsidRPr="005E76D2">
              <w:t xml:space="preserve"> service fees.</w:t>
            </w:r>
          </w:p>
        </w:tc>
        <w:tc>
          <w:tcPr>
            <w:tcW w:w="1051" w:type="dxa"/>
            <w:tcBorders>
              <w:bottom w:val="single" w:sz="4" w:space="0" w:color="939598"/>
            </w:tcBorders>
          </w:tcPr>
          <w:p w14:paraId="0D7C225B" w14:textId="77777777" w:rsidR="00862CC3" w:rsidRPr="005E76D2" w:rsidRDefault="00862CC3" w:rsidP="00FC1E35">
            <w:pPr>
              <w:pStyle w:val="Table"/>
              <w:jc w:val="center"/>
            </w:pPr>
          </w:p>
        </w:tc>
        <w:tc>
          <w:tcPr>
            <w:tcW w:w="1049" w:type="dxa"/>
            <w:tcBorders>
              <w:bottom w:val="single" w:sz="4" w:space="0" w:color="939598"/>
            </w:tcBorders>
          </w:tcPr>
          <w:p w14:paraId="6E3EC776" w14:textId="77777777" w:rsidR="00862CC3" w:rsidRPr="005E76D2" w:rsidRDefault="00862CC3" w:rsidP="00FC1E35">
            <w:pPr>
              <w:pStyle w:val="Table"/>
              <w:jc w:val="center"/>
            </w:pPr>
          </w:p>
        </w:tc>
        <w:tc>
          <w:tcPr>
            <w:tcW w:w="1208" w:type="dxa"/>
            <w:tcBorders>
              <w:bottom w:val="single" w:sz="4" w:space="0" w:color="939598"/>
            </w:tcBorders>
          </w:tcPr>
          <w:p w14:paraId="7976E1DD" w14:textId="77777777" w:rsidR="00862CC3" w:rsidRPr="005E76D2" w:rsidRDefault="00862CC3" w:rsidP="00FC1E35">
            <w:pPr>
              <w:pStyle w:val="Table"/>
              <w:jc w:val="center"/>
            </w:pPr>
          </w:p>
        </w:tc>
      </w:tr>
    </w:tbl>
    <w:p w14:paraId="44902CA6" w14:textId="77777777" w:rsidR="00A97829" w:rsidRDefault="00A97829">
      <w:r>
        <w:rPr>
          <w:b/>
        </w:rP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1051"/>
        <w:gridCol w:w="1049"/>
        <w:gridCol w:w="1208"/>
      </w:tblGrid>
      <w:tr w:rsidR="00A97829" w:rsidRPr="006F61C9" w14:paraId="21F297D1" w14:textId="77777777" w:rsidTr="00106283">
        <w:tc>
          <w:tcPr>
            <w:tcW w:w="1242" w:type="dxa"/>
            <w:shd w:val="clear" w:color="auto" w:fill="051C3C"/>
          </w:tcPr>
          <w:p w14:paraId="12FDDCF8" w14:textId="77777777" w:rsidR="00A97829" w:rsidRPr="006F61C9" w:rsidRDefault="00A97829" w:rsidP="00106283">
            <w:pPr>
              <w:pStyle w:val="Table"/>
              <w:rPr>
                <w:b/>
              </w:rPr>
            </w:pPr>
            <w:r w:rsidRPr="006F61C9">
              <w:rPr>
                <w:b/>
              </w:rPr>
              <w:t>Tax Return Reference</w:t>
            </w:r>
          </w:p>
        </w:tc>
        <w:tc>
          <w:tcPr>
            <w:tcW w:w="5753" w:type="dxa"/>
            <w:shd w:val="clear" w:color="auto" w:fill="051C3C"/>
          </w:tcPr>
          <w:p w14:paraId="3012D27D" w14:textId="77777777" w:rsidR="00A97829" w:rsidRPr="006F61C9" w:rsidRDefault="00A97829" w:rsidP="00106283">
            <w:pPr>
              <w:pStyle w:val="Table"/>
              <w:rPr>
                <w:b/>
              </w:rPr>
            </w:pPr>
            <w:r w:rsidRPr="006F61C9">
              <w:rPr>
                <w:b/>
              </w:rPr>
              <w:t>Section of the Income Tax Return</w:t>
            </w:r>
          </w:p>
        </w:tc>
        <w:tc>
          <w:tcPr>
            <w:tcW w:w="1051" w:type="dxa"/>
            <w:shd w:val="clear" w:color="auto" w:fill="051C3C"/>
          </w:tcPr>
          <w:p w14:paraId="5D21C852" w14:textId="77777777" w:rsidR="00A97829" w:rsidRPr="006F61C9" w:rsidRDefault="00A97829" w:rsidP="00106283">
            <w:pPr>
              <w:pStyle w:val="Table"/>
              <w:jc w:val="center"/>
              <w:rPr>
                <w:b/>
              </w:rPr>
            </w:pPr>
            <w:r w:rsidRPr="006F61C9">
              <w:rPr>
                <w:b/>
              </w:rPr>
              <w:t>Column 1</w:t>
            </w:r>
          </w:p>
          <w:p w14:paraId="740ED37E" w14:textId="77777777" w:rsidR="00A97829" w:rsidRPr="006F61C9" w:rsidRDefault="00A97829" w:rsidP="00106283">
            <w:pPr>
              <w:pStyle w:val="Table"/>
              <w:jc w:val="center"/>
              <w:rPr>
                <w:b/>
              </w:rPr>
            </w:pPr>
            <w:r w:rsidRPr="006F61C9">
              <w:rPr>
                <w:b/>
              </w:rPr>
              <w:t>(A) (S) (N/A)</w:t>
            </w:r>
          </w:p>
        </w:tc>
        <w:tc>
          <w:tcPr>
            <w:tcW w:w="1049" w:type="dxa"/>
            <w:shd w:val="clear" w:color="auto" w:fill="051C3C"/>
          </w:tcPr>
          <w:p w14:paraId="77D48394" w14:textId="77777777" w:rsidR="00A97829" w:rsidRPr="006F61C9" w:rsidRDefault="00A97829" w:rsidP="00106283">
            <w:pPr>
              <w:pStyle w:val="Table"/>
              <w:jc w:val="center"/>
              <w:rPr>
                <w:b/>
              </w:rPr>
            </w:pPr>
            <w:r w:rsidRPr="006F61C9">
              <w:rPr>
                <w:b/>
              </w:rPr>
              <w:t>Column 2</w:t>
            </w:r>
          </w:p>
          <w:p w14:paraId="2EC8B9E1" w14:textId="77777777" w:rsidR="00A97829" w:rsidRPr="006F61C9" w:rsidRDefault="00A97829" w:rsidP="00106283">
            <w:pPr>
              <w:pStyle w:val="Table"/>
              <w:jc w:val="center"/>
              <w:rPr>
                <w:b/>
              </w:rPr>
            </w:pPr>
            <w:r w:rsidRPr="006F61C9">
              <w:rPr>
                <w:b/>
              </w:rPr>
              <w:t>WP</w:t>
            </w:r>
          </w:p>
          <w:p w14:paraId="658FC2FB" w14:textId="77777777" w:rsidR="00A97829" w:rsidRPr="006F61C9" w:rsidRDefault="00A97829" w:rsidP="00106283">
            <w:pPr>
              <w:pStyle w:val="Table"/>
              <w:jc w:val="center"/>
              <w:rPr>
                <w:b/>
              </w:rPr>
            </w:pPr>
            <w:r w:rsidRPr="006F61C9">
              <w:rPr>
                <w:b/>
              </w:rPr>
              <w:t>(Y or N)</w:t>
            </w:r>
          </w:p>
        </w:tc>
        <w:tc>
          <w:tcPr>
            <w:tcW w:w="1208" w:type="dxa"/>
            <w:shd w:val="clear" w:color="auto" w:fill="051C3C"/>
          </w:tcPr>
          <w:p w14:paraId="5737F3A5" w14:textId="77777777" w:rsidR="00A97829" w:rsidRPr="006F61C9" w:rsidRDefault="00A97829" w:rsidP="00106283">
            <w:pPr>
              <w:pStyle w:val="Table"/>
              <w:jc w:val="center"/>
              <w:rPr>
                <w:b/>
              </w:rPr>
            </w:pPr>
            <w:r w:rsidRPr="006F61C9">
              <w:rPr>
                <w:b/>
              </w:rPr>
              <w:t>Column 3</w:t>
            </w:r>
          </w:p>
          <w:p w14:paraId="188AE054" w14:textId="77777777" w:rsidR="00A97829" w:rsidRPr="006F61C9" w:rsidRDefault="00A97829" w:rsidP="00106283">
            <w:pPr>
              <w:pStyle w:val="Table"/>
              <w:jc w:val="center"/>
              <w:rPr>
                <w:b/>
              </w:rPr>
            </w:pPr>
            <w:r w:rsidRPr="006F61C9">
              <w:rPr>
                <w:b/>
              </w:rPr>
              <w:t>Attachment</w:t>
            </w:r>
          </w:p>
          <w:p w14:paraId="22CCB2C3" w14:textId="77777777" w:rsidR="00A97829" w:rsidRPr="006F61C9" w:rsidRDefault="00A97829" w:rsidP="00106283">
            <w:pPr>
              <w:pStyle w:val="Table"/>
              <w:jc w:val="center"/>
              <w:rPr>
                <w:b/>
              </w:rPr>
            </w:pPr>
            <w:r w:rsidRPr="006F61C9">
              <w:rPr>
                <w:b/>
              </w:rPr>
              <w:t>(Y or N)</w:t>
            </w:r>
          </w:p>
        </w:tc>
      </w:tr>
      <w:tr w:rsidR="00A97829" w:rsidRPr="006F61C9" w14:paraId="415558C4" w14:textId="77777777" w:rsidTr="00106283">
        <w:tc>
          <w:tcPr>
            <w:tcW w:w="10303" w:type="dxa"/>
            <w:gridSpan w:val="5"/>
            <w:tcBorders>
              <w:top w:val="single" w:sz="4" w:space="0" w:color="939598"/>
              <w:bottom w:val="single" w:sz="4" w:space="0" w:color="939598"/>
            </w:tcBorders>
            <w:shd w:val="clear" w:color="auto" w:fill="D9D9D9" w:themeFill="background1" w:themeFillShade="D9"/>
            <w:vAlign w:val="center"/>
          </w:tcPr>
          <w:p w14:paraId="2EE27954" w14:textId="12AF6E7C" w:rsidR="00A97829" w:rsidRPr="00A97829" w:rsidRDefault="00A97829" w:rsidP="00A97829">
            <w:pPr>
              <w:pStyle w:val="Table"/>
              <w:rPr>
                <w:b/>
              </w:rPr>
            </w:pPr>
            <w:r w:rsidRPr="00A97829">
              <w:rPr>
                <w:b/>
              </w:rPr>
              <w:t xml:space="preserve">Deductions </w:t>
            </w:r>
          </w:p>
        </w:tc>
      </w:tr>
      <w:tr w:rsidR="00A97829" w:rsidRPr="006F61C9" w14:paraId="03F24CEE" w14:textId="77777777" w:rsidTr="00106283">
        <w:tc>
          <w:tcPr>
            <w:tcW w:w="10303" w:type="dxa"/>
            <w:gridSpan w:val="5"/>
            <w:shd w:val="clear" w:color="auto" w:fill="auto"/>
          </w:tcPr>
          <w:p w14:paraId="4B4DD507" w14:textId="501CE950" w:rsidR="00A97829" w:rsidRPr="00F86C0C" w:rsidRDefault="00A97829" w:rsidP="00B25ED0">
            <w:pPr>
              <w:pStyle w:val="Table"/>
              <w:rPr>
                <w:b/>
                <w:sz w:val="16"/>
                <w:szCs w:val="16"/>
              </w:rPr>
            </w:pPr>
            <w:r w:rsidRPr="00F86C0C">
              <w:rPr>
                <w:rFonts w:cs="Arial"/>
                <w:b/>
                <w:sz w:val="16"/>
                <w:szCs w:val="16"/>
              </w:rPr>
              <w:t>Note:</w:t>
            </w:r>
            <w:r w:rsidRPr="00F86C0C">
              <w:rPr>
                <w:sz w:val="16"/>
                <w:szCs w:val="16"/>
              </w:rPr>
              <w:t xml:space="preserve"> </w:t>
            </w:r>
            <w:r w:rsidRPr="00F86C0C">
              <w:rPr>
                <w:rFonts w:cs="Arial"/>
                <w:sz w:val="16"/>
                <w:szCs w:val="16"/>
              </w:rPr>
              <w:t>the ATO is paying particular attention to work</w:t>
            </w:r>
            <w:r w:rsidR="00B25ED0">
              <w:rPr>
                <w:rFonts w:cs="Arial"/>
                <w:sz w:val="16"/>
                <w:szCs w:val="16"/>
              </w:rPr>
              <w:t>-</w:t>
            </w:r>
            <w:r w:rsidRPr="00F86C0C">
              <w:rPr>
                <w:rFonts w:cs="Arial"/>
                <w:sz w:val="16"/>
                <w:szCs w:val="16"/>
              </w:rPr>
              <w:t>related expense deduction claims. They may contact your client’s employer to verify that the expense relates to their job (earning their income) and has not been reimbursed.</w:t>
            </w:r>
          </w:p>
        </w:tc>
      </w:tr>
      <w:tr w:rsidR="00A97829" w:rsidRPr="006F61C9" w14:paraId="6C3CAD14" w14:textId="77777777" w:rsidTr="00106283">
        <w:tc>
          <w:tcPr>
            <w:tcW w:w="1242" w:type="dxa"/>
          </w:tcPr>
          <w:p w14:paraId="2BAD4E0E" w14:textId="32DD5C22" w:rsidR="00A97829" w:rsidRPr="006F61C9" w:rsidRDefault="00A97829" w:rsidP="00A97829">
            <w:pPr>
              <w:pStyle w:val="Table"/>
              <w:rPr>
                <w:b/>
              </w:rPr>
            </w:pPr>
            <w:r w:rsidRPr="005E76D2">
              <w:rPr>
                <w:rFonts w:cs="Arial"/>
                <w:sz w:val="18"/>
                <w:szCs w:val="18"/>
              </w:rPr>
              <w:t>D1</w:t>
            </w:r>
          </w:p>
        </w:tc>
        <w:tc>
          <w:tcPr>
            <w:tcW w:w="5753" w:type="dxa"/>
          </w:tcPr>
          <w:p w14:paraId="712453FF" w14:textId="66F46D53" w:rsidR="00A97829" w:rsidRDefault="00A97829" w:rsidP="00A97829">
            <w:pPr>
              <w:pStyle w:val="Table"/>
              <w:rPr>
                <w:b/>
              </w:rPr>
            </w:pPr>
            <w:r w:rsidRPr="003D6B93">
              <w:rPr>
                <w:b/>
              </w:rPr>
              <w:t>Work</w:t>
            </w:r>
            <w:r w:rsidR="00B25ED0">
              <w:rPr>
                <w:b/>
              </w:rPr>
              <w:t>-</w:t>
            </w:r>
            <w:r w:rsidRPr="003D6B93">
              <w:rPr>
                <w:b/>
              </w:rPr>
              <w:t>related car expenses</w:t>
            </w:r>
          </w:p>
          <w:p w14:paraId="19B76110" w14:textId="77777777" w:rsidR="00A97829" w:rsidRPr="005E76D2" w:rsidRDefault="00A97829" w:rsidP="00A97829">
            <w:pPr>
              <w:pStyle w:val="Table"/>
            </w:pPr>
            <w:r>
              <w:t xml:space="preserve">Deduction for work-related car expenses are claimed under Item D1 in respect of a car which an employee owns, leases or hires under a hire-purchase agreement. </w:t>
            </w:r>
            <w:r w:rsidRPr="005E76D2">
              <w:t>The</w:t>
            </w:r>
            <w:r>
              <w:t xml:space="preserve"> client may choose which of the following</w:t>
            </w:r>
            <w:r w:rsidRPr="005E76D2">
              <w:t xml:space="preserve"> </w:t>
            </w:r>
            <w:r>
              <w:t>two</w:t>
            </w:r>
            <w:r w:rsidRPr="005E76D2">
              <w:t xml:space="preserve"> methods </w:t>
            </w:r>
            <w:r>
              <w:t>is applied to calculate the deduction</w:t>
            </w:r>
            <w:r w:rsidRPr="005E76D2">
              <w:t>:</w:t>
            </w:r>
          </w:p>
          <w:p w14:paraId="2B136D5E" w14:textId="77777777" w:rsidR="00A97829" w:rsidRPr="003D6B93" w:rsidRDefault="00A97829" w:rsidP="00A97829">
            <w:pPr>
              <w:pStyle w:val="Table"/>
              <w:rPr>
                <w:b/>
              </w:rPr>
            </w:pPr>
            <w:r w:rsidRPr="003D6B93">
              <w:rPr>
                <w:b/>
              </w:rPr>
              <w:t>1. Cents per kilometre method</w:t>
            </w:r>
          </w:p>
          <w:p w14:paraId="23577EB9" w14:textId="77777777" w:rsidR="00A97829" w:rsidRDefault="00A97829" w:rsidP="00A97829">
            <w:pPr>
              <w:pStyle w:val="Table"/>
              <w:ind w:right="-57"/>
            </w:pPr>
            <w:r w:rsidRPr="005E76D2">
              <w:t xml:space="preserve">The claim is based on a set rate for each business kilometre </w:t>
            </w:r>
            <w:r>
              <w:t xml:space="preserve">travelled, being $0.66 cents per kilometre regardless of the </w:t>
            </w:r>
            <w:r w:rsidRPr="005E76D2">
              <w:t>vehicle’s engine capacity. The taxpayer can claim costs by applying th</w:t>
            </w:r>
            <w:r>
              <w:t>at</w:t>
            </w:r>
            <w:r w:rsidRPr="005E76D2">
              <w:t xml:space="preserve"> set rate up to a </w:t>
            </w:r>
            <w:r w:rsidRPr="009A796B">
              <w:t xml:space="preserve">maximum of 5,000 </w:t>
            </w:r>
            <w:r>
              <w:t xml:space="preserve">business </w:t>
            </w:r>
            <w:r w:rsidRPr="009A796B">
              <w:t xml:space="preserve">kilometres. </w:t>
            </w:r>
            <w:r>
              <w:t xml:space="preserve">Taxpayers must be able to show how they worked out the amount of business kilometres travelled but do not otherwise have to comply with the substantiation provisions.   </w:t>
            </w:r>
          </w:p>
          <w:p w14:paraId="773661C4" w14:textId="2C1AAD28" w:rsidR="00A97829" w:rsidRDefault="00A97829" w:rsidP="00A97829">
            <w:pPr>
              <w:pStyle w:val="Table"/>
              <w:rPr>
                <w:color w:val="000000"/>
                <w:sz w:val="14"/>
                <w:szCs w:val="14"/>
              </w:rPr>
            </w:pPr>
            <w:r w:rsidRPr="000810EC">
              <w:rPr>
                <w:b/>
                <w:color w:val="000000"/>
                <w:sz w:val="14"/>
                <w:szCs w:val="14"/>
              </w:rPr>
              <w:t xml:space="preserve">Note: </w:t>
            </w:r>
            <w:r>
              <w:rPr>
                <w:color w:val="000000"/>
                <w:sz w:val="14"/>
                <w:szCs w:val="14"/>
              </w:rPr>
              <w:t>travel between home or work is not generally deductible other than where a home is a base of employment and a person starts work at home and travels to a different workplace where work is performed for the same employer. Similarly, travel costs will be allowable where a person has shifting places of employment and is required to regularly work at more than one site each day before returning home, or where that person need</w:t>
            </w:r>
            <w:r w:rsidR="00B25ED0">
              <w:rPr>
                <w:color w:val="000000"/>
                <w:sz w:val="14"/>
                <w:szCs w:val="14"/>
              </w:rPr>
              <w:t>s</w:t>
            </w:r>
            <w:r>
              <w:rPr>
                <w:color w:val="000000"/>
                <w:sz w:val="14"/>
                <w:szCs w:val="14"/>
              </w:rPr>
              <w:t xml:space="preserve"> to carry bulky tools or equipment used for their work which could not otherwise be left at their workplace. </w:t>
            </w:r>
          </w:p>
          <w:p w14:paraId="530D590D" w14:textId="77777777" w:rsidR="00A97829" w:rsidRPr="003D6B93" w:rsidRDefault="00A97829" w:rsidP="00A97829">
            <w:pPr>
              <w:pStyle w:val="TableBullet"/>
              <w:tabs>
                <w:tab w:val="clear" w:pos="1492"/>
              </w:tabs>
              <w:ind w:left="0" w:firstLine="0"/>
              <w:rPr>
                <w:b/>
              </w:rPr>
            </w:pPr>
            <w:r w:rsidRPr="005E76D2">
              <w:rPr>
                <w:b/>
              </w:rPr>
              <w:t>2</w:t>
            </w:r>
            <w:r w:rsidRPr="003D6B93">
              <w:rPr>
                <w:b/>
              </w:rPr>
              <w:t>. Log</w:t>
            </w:r>
            <w:r>
              <w:rPr>
                <w:b/>
              </w:rPr>
              <w:t xml:space="preserve"> </w:t>
            </w:r>
            <w:r w:rsidRPr="003D6B93">
              <w:rPr>
                <w:b/>
              </w:rPr>
              <w:t>book method</w:t>
            </w:r>
          </w:p>
          <w:p w14:paraId="421E3678" w14:textId="77777777" w:rsidR="00A97829" w:rsidRDefault="00A97829" w:rsidP="00A97829">
            <w:pPr>
              <w:pStyle w:val="Table"/>
            </w:pPr>
            <w:r w:rsidRPr="005E76D2">
              <w:t xml:space="preserve">The claim </w:t>
            </w:r>
            <w:r>
              <w:t xml:space="preserve">for each car expense deduction (e.g. fuel, repairs, registration and insurance) </w:t>
            </w:r>
            <w:r w:rsidRPr="005E76D2">
              <w:t xml:space="preserve">is </w:t>
            </w:r>
            <w:r>
              <w:t xml:space="preserve">multiplied by </w:t>
            </w:r>
            <w:r w:rsidRPr="005E76D2">
              <w:t xml:space="preserve">the business use percentage of </w:t>
            </w:r>
            <w:r>
              <w:t xml:space="preserve">a </w:t>
            </w:r>
            <w:r w:rsidRPr="005E76D2">
              <w:t xml:space="preserve">car </w:t>
            </w:r>
            <w:r>
              <w:t xml:space="preserve">as determined using a </w:t>
            </w:r>
            <w:r w:rsidRPr="005E76D2">
              <w:t>log</w:t>
            </w:r>
            <w:r>
              <w:t xml:space="preserve"> book for a</w:t>
            </w:r>
            <w:r w:rsidRPr="005E76D2">
              <w:t xml:space="preserve"> </w:t>
            </w:r>
            <w:r>
              <w:t>continuous 12-</w:t>
            </w:r>
            <w:r w:rsidRPr="005E76D2">
              <w:t>week</w:t>
            </w:r>
            <w:r>
              <w:t xml:space="preserve"> period. This business percentage is the amount of business kilometres travelled divided by the total number of kilometres travelled during the 12-week period. The business use percentage established in the log book can then generally be used in the subsequent 4 years to calculate car expense deductions. In addition, written evidence of car expense deductions must be retained including receipts, invoices and credit card statements as required under the substantiation provisions.  </w:t>
            </w:r>
          </w:p>
          <w:p w14:paraId="07719E6F" w14:textId="73E4C36C" w:rsidR="00A97829" w:rsidRDefault="00A97829" w:rsidP="00A97829">
            <w:pPr>
              <w:pStyle w:val="Table"/>
              <w:rPr>
                <w:sz w:val="14"/>
                <w:szCs w:val="14"/>
              </w:rPr>
            </w:pPr>
            <w:r w:rsidRPr="007140AA">
              <w:rPr>
                <w:b/>
                <w:sz w:val="14"/>
                <w:szCs w:val="14"/>
              </w:rPr>
              <w:t>Note:</w:t>
            </w:r>
            <w:r>
              <w:rPr>
                <w:sz w:val="14"/>
                <w:szCs w:val="14"/>
              </w:rPr>
              <w:t xml:space="preserve"> further details on what records need to be maintained under the log book method </w:t>
            </w:r>
            <w:r w:rsidR="0031122F">
              <w:rPr>
                <w:sz w:val="14"/>
                <w:szCs w:val="14"/>
              </w:rPr>
              <w:t xml:space="preserve">are available on the </w:t>
            </w:r>
            <w:hyperlink r:id="rId17" w:history="1">
              <w:r w:rsidR="0031122F" w:rsidRPr="0031122F">
                <w:rPr>
                  <w:rStyle w:val="Hyperlink"/>
                  <w:sz w:val="14"/>
                  <w:szCs w:val="14"/>
                </w:rPr>
                <w:t>ATO website</w:t>
              </w:r>
            </w:hyperlink>
            <w:r w:rsidR="0031122F">
              <w:rPr>
                <w:sz w:val="14"/>
                <w:szCs w:val="14"/>
              </w:rPr>
              <w:t>.</w:t>
            </w:r>
          </w:p>
          <w:p w14:paraId="329848B4" w14:textId="0B71B46E" w:rsidR="00A97829" w:rsidRPr="00F86C0C" w:rsidRDefault="00A97829" w:rsidP="00A97829">
            <w:pPr>
              <w:pStyle w:val="Table"/>
            </w:pPr>
            <w:r w:rsidRPr="007140AA">
              <w:rPr>
                <w:b/>
                <w:sz w:val="14"/>
                <w:szCs w:val="14"/>
              </w:rPr>
              <w:t>Note:</w:t>
            </w:r>
            <w:r>
              <w:rPr>
                <w:sz w:val="14"/>
                <w:szCs w:val="14"/>
              </w:rPr>
              <w:t xml:space="preserve"> sight a valid logbook to ensure that it is representative of the client’s circumstances for the 2017 year. If a log book relates to an earlier year ask if circumstances changed during the 2017 year (i.e. did the client change jobs, areas worked or otherwise have changes to pattern of work-related use of the car).</w:t>
            </w:r>
            <w:r>
              <w:t xml:space="preserve">   </w:t>
            </w:r>
          </w:p>
        </w:tc>
        <w:tc>
          <w:tcPr>
            <w:tcW w:w="1051" w:type="dxa"/>
            <w:shd w:val="clear" w:color="auto" w:fill="auto"/>
          </w:tcPr>
          <w:p w14:paraId="1729DE29" w14:textId="77777777" w:rsidR="00A97829" w:rsidRPr="006F61C9" w:rsidRDefault="00A97829" w:rsidP="00A97829">
            <w:pPr>
              <w:pStyle w:val="Table"/>
              <w:jc w:val="center"/>
              <w:rPr>
                <w:b/>
              </w:rPr>
            </w:pPr>
          </w:p>
        </w:tc>
        <w:tc>
          <w:tcPr>
            <w:tcW w:w="1049" w:type="dxa"/>
            <w:shd w:val="clear" w:color="auto" w:fill="auto"/>
          </w:tcPr>
          <w:p w14:paraId="3C3C8A49" w14:textId="77777777" w:rsidR="00A97829" w:rsidRPr="006F61C9" w:rsidRDefault="00A97829" w:rsidP="00A97829">
            <w:pPr>
              <w:pStyle w:val="Table"/>
              <w:jc w:val="center"/>
              <w:rPr>
                <w:b/>
              </w:rPr>
            </w:pPr>
          </w:p>
        </w:tc>
        <w:tc>
          <w:tcPr>
            <w:tcW w:w="1208" w:type="dxa"/>
            <w:shd w:val="clear" w:color="auto" w:fill="auto"/>
          </w:tcPr>
          <w:p w14:paraId="7991DF9E" w14:textId="77777777" w:rsidR="00A97829" w:rsidRPr="006F61C9" w:rsidRDefault="00A97829" w:rsidP="00A97829">
            <w:pPr>
              <w:pStyle w:val="Table"/>
              <w:jc w:val="center"/>
              <w:rPr>
                <w:b/>
              </w:rPr>
            </w:pPr>
          </w:p>
        </w:tc>
      </w:tr>
    </w:tbl>
    <w:p w14:paraId="307B8A29" w14:textId="77777777" w:rsidR="00F86C0C" w:rsidRDefault="00F86C0C">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53"/>
        <w:gridCol w:w="59"/>
        <w:gridCol w:w="973"/>
        <w:gridCol w:w="19"/>
        <w:gridCol w:w="1031"/>
        <w:gridCol w:w="18"/>
        <w:gridCol w:w="1208"/>
      </w:tblGrid>
      <w:tr w:rsidR="00A97829" w:rsidRPr="006F61C9" w14:paraId="46408200" w14:textId="77777777" w:rsidTr="00065325">
        <w:tc>
          <w:tcPr>
            <w:tcW w:w="1242" w:type="dxa"/>
            <w:shd w:val="clear" w:color="auto" w:fill="051C3C"/>
          </w:tcPr>
          <w:p w14:paraId="2DB43B4A" w14:textId="628F59F9" w:rsidR="00A97829" w:rsidRPr="006F61C9" w:rsidRDefault="00A97829" w:rsidP="00A97829">
            <w:pPr>
              <w:pStyle w:val="Table"/>
              <w:rPr>
                <w:b/>
              </w:rPr>
            </w:pPr>
            <w:r w:rsidRPr="006F61C9">
              <w:rPr>
                <w:b/>
              </w:rPr>
              <w:t>Tax Return Reference</w:t>
            </w:r>
          </w:p>
        </w:tc>
        <w:tc>
          <w:tcPr>
            <w:tcW w:w="5753" w:type="dxa"/>
            <w:shd w:val="clear" w:color="auto" w:fill="051C3C"/>
          </w:tcPr>
          <w:p w14:paraId="76535D2C" w14:textId="77777777" w:rsidR="00A97829" w:rsidRPr="006F61C9" w:rsidRDefault="00A97829" w:rsidP="00A97829">
            <w:pPr>
              <w:pStyle w:val="Table"/>
              <w:rPr>
                <w:b/>
              </w:rPr>
            </w:pPr>
            <w:r w:rsidRPr="006F61C9">
              <w:rPr>
                <w:b/>
              </w:rPr>
              <w:t>Section of the Income Tax Return</w:t>
            </w:r>
          </w:p>
        </w:tc>
        <w:tc>
          <w:tcPr>
            <w:tcW w:w="1051" w:type="dxa"/>
            <w:gridSpan w:val="3"/>
            <w:shd w:val="clear" w:color="auto" w:fill="051C3C"/>
          </w:tcPr>
          <w:p w14:paraId="772A5246" w14:textId="77777777" w:rsidR="00A97829" w:rsidRPr="006F61C9" w:rsidRDefault="00A97829" w:rsidP="00A97829">
            <w:pPr>
              <w:pStyle w:val="Table"/>
              <w:jc w:val="center"/>
              <w:rPr>
                <w:b/>
              </w:rPr>
            </w:pPr>
            <w:r w:rsidRPr="006F61C9">
              <w:rPr>
                <w:b/>
              </w:rPr>
              <w:t>Column 1</w:t>
            </w:r>
          </w:p>
          <w:p w14:paraId="2DA339D9" w14:textId="77777777" w:rsidR="00A97829" w:rsidRPr="006F61C9" w:rsidRDefault="00A97829" w:rsidP="00A97829">
            <w:pPr>
              <w:pStyle w:val="Table"/>
              <w:jc w:val="center"/>
              <w:rPr>
                <w:b/>
              </w:rPr>
            </w:pPr>
            <w:r w:rsidRPr="006F61C9">
              <w:rPr>
                <w:b/>
              </w:rPr>
              <w:t>(A) (S) (N/A)</w:t>
            </w:r>
          </w:p>
        </w:tc>
        <w:tc>
          <w:tcPr>
            <w:tcW w:w="1049" w:type="dxa"/>
            <w:gridSpan w:val="2"/>
            <w:shd w:val="clear" w:color="auto" w:fill="051C3C"/>
          </w:tcPr>
          <w:p w14:paraId="69EEFB64" w14:textId="77777777" w:rsidR="00A97829" w:rsidRPr="006F61C9" w:rsidRDefault="00A97829" w:rsidP="00A97829">
            <w:pPr>
              <w:pStyle w:val="Table"/>
              <w:jc w:val="center"/>
              <w:rPr>
                <w:b/>
              </w:rPr>
            </w:pPr>
            <w:r w:rsidRPr="006F61C9">
              <w:rPr>
                <w:b/>
              </w:rPr>
              <w:t>Column 2</w:t>
            </w:r>
          </w:p>
          <w:p w14:paraId="102F2910" w14:textId="77777777" w:rsidR="00A97829" w:rsidRPr="006F61C9" w:rsidRDefault="00A97829" w:rsidP="00A97829">
            <w:pPr>
              <w:pStyle w:val="Table"/>
              <w:jc w:val="center"/>
              <w:rPr>
                <w:b/>
              </w:rPr>
            </w:pPr>
            <w:r w:rsidRPr="006F61C9">
              <w:rPr>
                <w:b/>
              </w:rPr>
              <w:t>WP</w:t>
            </w:r>
          </w:p>
          <w:p w14:paraId="7C46F658" w14:textId="77777777" w:rsidR="00A97829" w:rsidRPr="006F61C9" w:rsidRDefault="00A97829" w:rsidP="00A97829">
            <w:pPr>
              <w:pStyle w:val="Table"/>
              <w:jc w:val="center"/>
              <w:rPr>
                <w:b/>
              </w:rPr>
            </w:pPr>
            <w:r w:rsidRPr="006F61C9">
              <w:rPr>
                <w:b/>
              </w:rPr>
              <w:t>(Y or N)</w:t>
            </w:r>
          </w:p>
        </w:tc>
        <w:tc>
          <w:tcPr>
            <w:tcW w:w="1208" w:type="dxa"/>
            <w:shd w:val="clear" w:color="auto" w:fill="051C3C"/>
          </w:tcPr>
          <w:p w14:paraId="49657C43" w14:textId="77777777" w:rsidR="00A97829" w:rsidRPr="006F61C9" w:rsidRDefault="00A97829" w:rsidP="00A97829">
            <w:pPr>
              <w:pStyle w:val="Table"/>
              <w:jc w:val="center"/>
              <w:rPr>
                <w:b/>
              </w:rPr>
            </w:pPr>
            <w:r w:rsidRPr="006F61C9">
              <w:rPr>
                <w:b/>
              </w:rPr>
              <w:t>Column 3</w:t>
            </w:r>
          </w:p>
          <w:p w14:paraId="555CFE90" w14:textId="77777777" w:rsidR="00A97829" w:rsidRPr="006F61C9" w:rsidRDefault="00A97829" w:rsidP="00A97829">
            <w:pPr>
              <w:pStyle w:val="Table"/>
              <w:jc w:val="center"/>
              <w:rPr>
                <w:b/>
              </w:rPr>
            </w:pPr>
            <w:r w:rsidRPr="006F61C9">
              <w:rPr>
                <w:b/>
              </w:rPr>
              <w:t>Attachment</w:t>
            </w:r>
          </w:p>
          <w:p w14:paraId="6B9ECD8D" w14:textId="77777777" w:rsidR="00A97829" w:rsidRPr="006F61C9" w:rsidRDefault="00A97829" w:rsidP="00A97829">
            <w:pPr>
              <w:pStyle w:val="Table"/>
              <w:jc w:val="center"/>
              <w:rPr>
                <w:b/>
              </w:rPr>
            </w:pPr>
            <w:r w:rsidRPr="006F61C9">
              <w:rPr>
                <w:b/>
              </w:rPr>
              <w:t>(Y or N)</w:t>
            </w:r>
          </w:p>
        </w:tc>
      </w:tr>
      <w:tr w:rsidR="00A97829" w:rsidRPr="005E76D2" w14:paraId="1B3B4CF9" w14:textId="77777777" w:rsidTr="00C57F56">
        <w:tc>
          <w:tcPr>
            <w:tcW w:w="10303" w:type="dxa"/>
            <w:gridSpan w:val="8"/>
            <w:shd w:val="clear" w:color="auto" w:fill="D9D9D9" w:themeFill="background1" w:themeFillShade="D9"/>
            <w:vAlign w:val="center"/>
          </w:tcPr>
          <w:p w14:paraId="33C80381" w14:textId="77777777" w:rsidR="00A97829" w:rsidRPr="00AF24CF" w:rsidRDefault="00A97829" w:rsidP="00A97829">
            <w:pPr>
              <w:pStyle w:val="Tableheading"/>
            </w:pPr>
            <w:r w:rsidRPr="003D6B93">
              <w:t xml:space="preserve">Deductions </w:t>
            </w:r>
            <w:r w:rsidRPr="00C57F56">
              <w:rPr>
                <w:b w:val="0"/>
              </w:rPr>
              <w:t>(continued)</w:t>
            </w:r>
          </w:p>
        </w:tc>
      </w:tr>
      <w:tr w:rsidR="00A97829" w:rsidRPr="005E76D2" w14:paraId="271A53A8" w14:textId="77777777" w:rsidTr="0008079A">
        <w:tc>
          <w:tcPr>
            <w:tcW w:w="1242" w:type="dxa"/>
          </w:tcPr>
          <w:p w14:paraId="0A9305C6" w14:textId="77777777" w:rsidR="00A97829" w:rsidRPr="005E76D2" w:rsidRDefault="00A97829" w:rsidP="00A97829">
            <w:pPr>
              <w:pStyle w:val="Table"/>
            </w:pPr>
            <w:r w:rsidRPr="005E76D2">
              <w:t>D2</w:t>
            </w:r>
          </w:p>
        </w:tc>
        <w:tc>
          <w:tcPr>
            <w:tcW w:w="5812" w:type="dxa"/>
            <w:gridSpan w:val="2"/>
          </w:tcPr>
          <w:p w14:paraId="45512FCE" w14:textId="7287EB4F" w:rsidR="00A97829" w:rsidRPr="005E76D2" w:rsidRDefault="00A97829" w:rsidP="00A97829">
            <w:pPr>
              <w:pStyle w:val="Table"/>
              <w:rPr>
                <w:b/>
              </w:rPr>
            </w:pPr>
            <w:r w:rsidRPr="005E76D2">
              <w:rPr>
                <w:b/>
              </w:rPr>
              <w:t>Work</w:t>
            </w:r>
            <w:r w:rsidR="00295571">
              <w:rPr>
                <w:b/>
              </w:rPr>
              <w:t>-</w:t>
            </w:r>
            <w:r w:rsidRPr="005E76D2">
              <w:rPr>
                <w:b/>
              </w:rPr>
              <w:t>related travel expenses</w:t>
            </w:r>
          </w:p>
          <w:p w14:paraId="49700A20" w14:textId="50891CFD" w:rsidR="00A97829" w:rsidRDefault="00A97829" w:rsidP="00A97829">
            <w:pPr>
              <w:pStyle w:val="TableBullet"/>
              <w:tabs>
                <w:tab w:val="clear" w:pos="1492"/>
              </w:tabs>
              <w:ind w:left="0" w:firstLine="0"/>
            </w:pPr>
            <w:r>
              <w:t>If your client’s employer requires the client to travel overnight, some associated costs like accommodation, meals, petrol, road tolls and parking may be deductible. To make a claim the client must be able to show</w:t>
            </w:r>
            <w:r w:rsidR="00295571">
              <w:t xml:space="preserve"> that</w:t>
            </w:r>
            <w:r>
              <w:t>:</w:t>
            </w:r>
          </w:p>
          <w:p w14:paraId="6A414D75" w14:textId="3805C4C4" w:rsidR="00A97829" w:rsidRDefault="00295571" w:rsidP="00A97829">
            <w:pPr>
              <w:pStyle w:val="TableBullet"/>
              <w:numPr>
                <w:ilvl w:val="0"/>
                <w:numId w:val="50"/>
              </w:numPr>
            </w:pPr>
            <w:r>
              <w:t>t</w:t>
            </w:r>
            <w:r w:rsidR="00A97829">
              <w:t>ravel was for work purposes</w:t>
            </w:r>
          </w:p>
          <w:p w14:paraId="6645678E" w14:textId="65934337" w:rsidR="00A97829" w:rsidRDefault="00295571" w:rsidP="00A97829">
            <w:pPr>
              <w:pStyle w:val="TableBullet"/>
              <w:numPr>
                <w:ilvl w:val="0"/>
                <w:numId w:val="50"/>
              </w:numPr>
            </w:pPr>
            <w:r>
              <w:t>t</w:t>
            </w:r>
            <w:r w:rsidR="00A97829">
              <w:t>he client was away from home overnight</w:t>
            </w:r>
          </w:p>
          <w:p w14:paraId="0FA29B90" w14:textId="0E5AD0DE" w:rsidR="00A97829" w:rsidRDefault="00295571" w:rsidP="00A97829">
            <w:pPr>
              <w:pStyle w:val="TableBullet"/>
              <w:numPr>
                <w:ilvl w:val="0"/>
                <w:numId w:val="50"/>
              </w:numPr>
            </w:pPr>
            <w:r>
              <w:t>t</w:t>
            </w:r>
            <w:r w:rsidR="00A97829">
              <w:t>he amount of money</w:t>
            </w:r>
            <w:r>
              <w:t xml:space="preserve"> to be claimed</w:t>
            </w:r>
          </w:p>
          <w:p w14:paraId="6C36A925" w14:textId="0DAD4FFE" w:rsidR="00A97829" w:rsidRPr="005E76D2" w:rsidRDefault="00295571" w:rsidP="00A97829">
            <w:pPr>
              <w:pStyle w:val="TableBullet"/>
              <w:numPr>
                <w:ilvl w:val="0"/>
                <w:numId w:val="50"/>
              </w:numPr>
            </w:pPr>
            <w:proofErr w:type="gramStart"/>
            <w:r>
              <w:t>the</w:t>
            </w:r>
            <w:proofErr w:type="gramEnd"/>
            <w:r>
              <w:t xml:space="preserve"> client kept a diary (for</w:t>
            </w:r>
            <w:r w:rsidR="00A97829">
              <w:t xml:space="preserve"> certain travel which </w:t>
            </w:r>
            <w:r>
              <w:t>is more than six</w:t>
            </w:r>
            <w:r w:rsidR="00A97829">
              <w:t xml:space="preserve"> nights away</w:t>
            </w:r>
            <w:r>
              <w:t xml:space="preserve"> from home)</w:t>
            </w:r>
            <w:r w:rsidR="00A97829">
              <w:t>.</w:t>
            </w:r>
          </w:p>
          <w:p w14:paraId="0803D560" w14:textId="438079E6" w:rsidR="00A97829" w:rsidRPr="000810EC" w:rsidRDefault="00A97829" w:rsidP="00A97829">
            <w:pPr>
              <w:pStyle w:val="Table"/>
              <w:spacing w:before="120"/>
            </w:pPr>
            <w:r w:rsidRPr="000810EC">
              <w:t xml:space="preserve">Receiving a travel allowance does not automatically entitle the client to a travel expense deduction. </w:t>
            </w:r>
            <w:r w:rsidRPr="00C1443C">
              <w:t xml:space="preserve">Substantiation is not required where </w:t>
            </w:r>
            <w:r>
              <w:t xml:space="preserve">a </w:t>
            </w:r>
            <w:r w:rsidRPr="00C1443C">
              <w:t xml:space="preserve">‘reasonable allowance’ </w:t>
            </w:r>
            <w:r>
              <w:t xml:space="preserve">is </w:t>
            </w:r>
            <w:r w:rsidRPr="00C1443C">
              <w:t xml:space="preserve">paid to </w:t>
            </w:r>
            <w:r w:rsidRPr="000810EC">
              <w:t xml:space="preserve">an </w:t>
            </w:r>
            <w:r w:rsidRPr="00C1443C">
              <w:t xml:space="preserve">employee for accommodation (domestic only), food, drink and incidentals if </w:t>
            </w:r>
            <w:r>
              <w:t>the a</w:t>
            </w:r>
            <w:r w:rsidRPr="00C1443C">
              <w:t>llowance is within ATO limits</w:t>
            </w:r>
            <w:r>
              <w:t>. The</w:t>
            </w:r>
            <w:r w:rsidRPr="000810EC">
              <w:t xml:space="preserve"> client still needs to show that the money was spent and the</w:t>
            </w:r>
            <w:r>
              <w:t xml:space="preserve"> client</w:t>
            </w:r>
            <w:r w:rsidRPr="000810EC">
              <w:t xml:space="preserve"> may be required to </w:t>
            </w:r>
            <w:r>
              <w:t>explain the basis of any claim.</w:t>
            </w:r>
          </w:p>
          <w:p w14:paraId="334C56C8" w14:textId="0E2DA78D" w:rsidR="00A97829" w:rsidRDefault="00A97829" w:rsidP="00A97829">
            <w:pPr>
              <w:pStyle w:val="Table"/>
              <w:spacing w:before="120"/>
              <w:rPr>
                <w:sz w:val="14"/>
                <w:szCs w:val="14"/>
              </w:rPr>
            </w:pPr>
            <w:r w:rsidRPr="00C108A5">
              <w:rPr>
                <w:b/>
                <w:sz w:val="14"/>
                <w:szCs w:val="14"/>
              </w:rPr>
              <w:t>Note:</w:t>
            </w:r>
            <w:r w:rsidRPr="00C108A5">
              <w:rPr>
                <w:sz w:val="14"/>
                <w:szCs w:val="14"/>
              </w:rPr>
              <w:t xml:space="preserve"> refer to Taxation Ruling TR 2004/6 and Taxation Determination TD 201</w:t>
            </w:r>
            <w:r>
              <w:rPr>
                <w:sz w:val="14"/>
                <w:szCs w:val="14"/>
              </w:rPr>
              <w:t>6/13</w:t>
            </w:r>
            <w:r w:rsidRPr="00C108A5">
              <w:rPr>
                <w:sz w:val="14"/>
                <w:szCs w:val="14"/>
              </w:rPr>
              <w:t xml:space="preserve"> for details on what constitutes reasonable travel and overtime meal expense amounts for the 201</w:t>
            </w:r>
            <w:r>
              <w:rPr>
                <w:sz w:val="14"/>
                <w:szCs w:val="14"/>
              </w:rPr>
              <w:t>7</w:t>
            </w:r>
            <w:r w:rsidRPr="00C108A5">
              <w:rPr>
                <w:sz w:val="14"/>
                <w:szCs w:val="14"/>
              </w:rPr>
              <w:t xml:space="preserve"> year.   </w:t>
            </w:r>
          </w:p>
          <w:p w14:paraId="34900E09" w14:textId="7C82A438" w:rsidR="00A97829" w:rsidRPr="00C108A5" w:rsidRDefault="00A97829" w:rsidP="00A97829">
            <w:pPr>
              <w:pStyle w:val="Table"/>
              <w:spacing w:before="120"/>
              <w:rPr>
                <w:sz w:val="14"/>
                <w:szCs w:val="14"/>
              </w:rPr>
            </w:pPr>
            <w:r w:rsidRPr="00C108A5">
              <w:rPr>
                <w:b/>
                <w:sz w:val="14"/>
                <w:szCs w:val="14"/>
              </w:rPr>
              <w:t>Note:</w:t>
            </w:r>
            <w:r w:rsidRPr="00C108A5">
              <w:rPr>
                <w:sz w:val="14"/>
                <w:szCs w:val="14"/>
              </w:rPr>
              <w:t xml:space="preserve"> </w:t>
            </w:r>
            <w:r>
              <w:rPr>
                <w:sz w:val="14"/>
                <w:szCs w:val="14"/>
              </w:rPr>
              <w:t>other work-related travel deductions potentially allowable under Item D2 include public transport costs, taxi fares and car expenses incurred on work-related travel in respect of a car that is not owned, leased or hired by the client.</w:t>
            </w:r>
          </w:p>
        </w:tc>
        <w:tc>
          <w:tcPr>
            <w:tcW w:w="973" w:type="dxa"/>
          </w:tcPr>
          <w:p w14:paraId="1577412B" w14:textId="77777777" w:rsidR="00A97829" w:rsidRPr="005E76D2" w:rsidRDefault="00A97829" w:rsidP="00A97829">
            <w:pPr>
              <w:pStyle w:val="Table"/>
              <w:jc w:val="center"/>
            </w:pPr>
          </w:p>
        </w:tc>
        <w:tc>
          <w:tcPr>
            <w:tcW w:w="1050" w:type="dxa"/>
            <w:gridSpan w:val="2"/>
          </w:tcPr>
          <w:p w14:paraId="1B0BD68E" w14:textId="77777777" w:rsidR="00A97829" w:rsidRPr="005E76D2" w:rsidRDefault="00A97829" w:rsidP="00A97829">
            <w:pPr>
              <w:pStyle w:val="Table"/>
              <w:jc w:val="center"/>
            </w:pPr>
          </w:p>
        </w:tc>
        <w:tc>
          <w:tcPr>
            <w:tcW w:w="1226" w:type="dxa"/>
            <w:gridSpan w:val="2"/>
          </w:tcPr>
          <w:p w14:paraId="3032C773" w14:textId="77777777" w:rsidR="00A97829" w:rsidRPr="005E76D2" w:rsidRDefault="00A97829" w:rsidP="00A97829">
            <w:pPr>
              <w:pStyle w:val="Table"/>
              <w:jc w:val="center"/>
            </w:pPr>
          </w:p>
        </w:tc>
      </w:tr>
      <w:tr w:rsidR="00A97829" w:rsidRPr="005E76D2" w14:paraId="558D704C" w14:textId="77777777" w:rsidTr="0008079A">
        <w:tc>
          <w:tcPr>
            <w:tcW w:w="1242" w:type="dxa"/>
          </w:tcPr>
          <w:p w14:paraId="38081572" w14:textId="77777777" w:rsidR="00A97829" w:rsidRPr="005E76D2" w:rsidRDefault="00A97829" w:rsidP="00A97829">
            <w:pPr>
              <w:pStyle w:val="Table"/>
            </w:pPr>
            <w:r w:rsidRPr="005E76D2">
              <w:t>D3</w:t>
            </w:r>
          </w:p>
        </w:tc>
        <w:tc>
          <w:tcPr>
            <w:tcW w:w="5812" w:type="dxa"/>
            <w:gridSpan w:val="2"/>
          </w:tcPr>
          <w:p w14:paraId="292B7FD8" w14:textId="2E1CC929" w:rsidR="00A97829" w:rsidRDefault="00A97829" w:rsidP="00A97829">
            <w:pPr>
              <w:pStyle w:val="Table"/>
              <w:rPr>
                <w:b/>
              </w:rPr>
            </w:pPr>
            <w:r w:rsidRPr="005E76D2">
              <w:rPr>
                <w:b/>
              </w:rPr>
              <w:t>Work</w:t>
            </w:r>
            <w:r w:rsidR="00295571">
              <w:rPr>
                <w:b/>
              </w:rPr>
              <w:t>-</w:t>
            </w:r>
            <w:r w:rsidRPr="005E76D2">
              <w:rPr>
                <w:b/>
              </w:rPr>
              <w:t xml:space="preserve">related uniform, occupation specific or protective clothing, laundry and </w:t>
            </w:r>
            <w:r w:rsidR="00295571">
              <w:rPr>
                <w:b/>
              </w:rPr>
              <w:t xml:space="preserve">dry </w:t>
            </w:r>
            <w:r w:rsidRPr="005E76D2">
              <w:rPr>
                <w:b/>
              </w:rPr>
              <w:t>cleaning expenses</w:t>
            </w:r>
          </w:p>
          <w:p w14:paraId="173DE9BC" w14:textId="4AC10B4C" w:rsidR="00A97829" w:rsidRPr="00BB7910" w:rsidRDefault="00A97829" w:rsidP="00A97829">
            <w:pPr>
              <w:pStyle w:val="Table"/>
            </w:pPr>
            <w:r w:rsidRPr="00BB7910">
              <w:t>The purchase and laundering of the following clothing may be deductible</w:t>
            </w:r>
            <w:r>
              <w:t>:</w:t>
            </w:r>
            <w:r w:rsidRPr="00BB7910">
              <w:t xml:space="preserve">   </w:t>
            </w:r>
          </w:p>
          <w:p w14:paraId="04D45B9D" w14:textId="0DE10D01" w:rsidR="00A97829" w:rsidRPr="005E76D2" w:rsidRDefault="00A97829" w:rsidP="00A97829">
            <w:pPr>
              <w:pStyle w:val="TableBullet"/>
              <w:numPr>
                <w:ilvl w:val="0"/>
                <w:numId w:val="15"/>
              </w:numPr>
            </w:pPr>
            <w:r>
              <w:t>p</w:t>
            </w:r>
            <w:r w:rsidRPr="005E76D2">
              <w:t xml:space="preserve">rotective clothing and safety footwear: clothing or footwear that is specifically designed to protect </w:t>
            </w:r>
            <w:r>
              <w:t>against risk of death, disease, injury or damage or</w:t>
            </w:r>
          </w:p>
          <w:p w14:paraId="61CB36DA" w14:textId="6DC5D28A" w:rsidR="00A97829" w:rsidRDefault="00A97829" w:rsidP="00A97829">
            <w:pPr>
              <w:pStyle w:val="TableBullet"/>
              <w:numPr>
                <w:ilvl w:val="0"/>
                <w:numId w:val="15"/>
              </w:numPr>
            </w:pPr>
            <w:r w:rsidRPr="005E76D2">
              <w:t xml:space="preserve">compulsory uniform: non-conventional clothing that </w:t>
            </w:r>
            <w:r>
              <w:t xml:space="preserve">identifies the employee as being employed by a particular employer which is a policy strictly enforced by the employer </w:t>
            </w:r>
            <w:r w:rsidRPr="005E76D2">
              <w:t>or</w:t>
            </w:r>
          </w:p>
          <w:p w14:paraId="4C043877" w14:textId="663CDB7B" w:rsidR="00A97829" w:rsidRDefault="00A97829" w:rsidP="00A97829">
            <w:pPr>
              <w:pStyle w:val="TableBullet"/>
              <w:numPr>
                <w:ilvl w:val="0"/>
                <w:numId w:val="15"/>
              </w:numPr>
            </w:pPr>
            <w:r>
              <w:t xml:space="preserve">non-compulsory uniform: non-mandated uniform or clothing which clearly identifies an individual’s employer which is registered with </w:t>
            </w:r>
            <w:proofErr w:type="spellStart"/>
            <w:r>
              <w:t>AusIndustry</w:t>
            </w:r>
            <w:proofErr w:type="spellEnd"/>
            <w:r>
              <w:t xml:space="preserve"> or </w:t>
            </w:r>
          </w:p>
          <w:p w14:paraId="58F6FCF4" w14:textId="77777777" w:rsidR="00A97829" w:rsidRPr="005E76D2" w:rsidRDefault="00A97829" w:rsidP="00A97829">
            <w:pPr>
              <w:pStyle w:val="TableBullet"/>
              <w:numPr>
                <w:ilvl w:val="0"/>
                <w:numId w:val="15"/>
              </w:numPr>
            </w:pPr>
            <w:proofErr w:type="gramStart"/>
            <w:r w:rsidRPr="005E76D2">
              <w:t>occupation</w:t>
            </w:r>
            <w:proofErr w:type="gramEnd"/>
            <w:r w:rsidRPr="005E76D2">
              <w:t xml:space="preserve"> specific</w:t>
            </w:r>
            <w:r>
              <w:t xml:space="preserve"> clothing</w:t>
            </w:r>
            <w:r w:rsidRPr="005E76D2">
              <w:t>: cloth</w:t>
            </w:r>
            <w:r>
              <w:t>es</w:t>
            </w:r>
            <w:r w:rsidRPr="005E76D2">
              <w:t xml:space="preserve"> that identif</w:t>
            </w:r>
            <w:r>
              <w:t>y</w:t>
            </w:r>
            <w:r w:rsidRPr="005E76D2">
              <w:t xml:space="preserve"> a person as a member of a specific profession, trade, vocation, occupation or calling.</w:t>
            </w:r>
          </w:p>
          <w:p w14:paraId="3249086C" w14:textId="77777777" w:rsidR="00A97829" w:rsidRDefault="00A97829" w:rsidP="00A97829">
            <w:pPr>
              <w:pStyle w:val="Table"/>
            </w:pPr>
            <w:r w:rsidRPr="005E76D2">
              <w:t xml:space="preserve">Refer to </w:t>
            </w:r>
            <w:r>
              <w:t>Taxation Ruling</w:t>
            </w:r>
            <w:r w:rsidRPr="005E76D2">
              <w:t xml:space="preserve"> TR 98/5</w:t>
            </w:r>
            <w:r>
              <w:t xml:space="preserve"> for further details</w:t>
            </w:r>
            <w:r w:rsidRPr="005E76D2">
              <w:t>.</w:t>
            </w:r>
            <w:r>
              <w:t xml:space="preserve"> </w:t>
            </w:r>
            <w:r w:rsidRPr="005E76D2">
              <w:t xml:space="preserve">Substantiation </w:t>
            </w:r>
            <w:r>
              <w:t xml:space="preserve">is </w:t>
            </w:r>
            <w:r w:rsidRPr="005E76D2">
              <w:t xml:space="preserve">not necessary for reasonable claims up to $150 in respect of </w:t>
            </w:r>
            <w:r>
              <w:t xml:space="preserve">the laundry and dry cleaning of such </w:t>
            </w:r>
            <w:r w:rsidRPr="005E76D2">
              <w:t xml:space="preserve">clothing. </w:t>
            </w:r>
          </w:p>
          <w:p w14:paraId="165300AC" w14:textId="01516B57" w:rsidR="00A97829" w:rsidRPr="0048333B" w:rsidRDefault="00A97829" w:rsidP="00295571">
            <w:pPr>
              <w:pStyle w:val="Table"/>
            </w:pPr>
            <w:r w:rsidRPr="00E94F99">
              <w:rPr>
                <w:b/>
                <w:sz w:val="14"/>
                <w:szCs w:val="14"/>
              </w:rPr>
              <w:t>Note:</w:t>
            </w:r>
            <w:r w:rsidRPr="00E94F99">
              <w:rPr>
                <w:sz w:val="14"/>
                <w:szCs w:val="14"/>
              </w:rPr>
              <w:t xml:space="preserve"> </w:t>
            </w:r>
            <w:r w:rsidR="00295571">
              <w:rPr>
                <w:sz w:val="14"/>
                <w:szCs w:val="14"/>
              </w:rPr>
              <w:t>t</w:t>
            </w:r>
            <w:r w:rsidRPr="00E94F99">
              <w:rPr>
                <w:sz w:val="14"/>
                <w:szCs w:val="14"/>
              </w:rPr>
              <w:t xml:space="preserve">he client cannot claim the cost of purchasing or laundering </w:t>
            </w:r>
            <w:r>
              <w:rPr>
                <w:sz w:val="14"/>
                <w:szCs w:val="14"/>
              </w:rPr>
              <w:t xml:space="preserve">conventional </w:t>
            </w:r>
            <w:r w:rsidRPr="00E94F99">
              <w:rPr>
                <w:sz w:val="14"/>
                <w:szCs w:val="14"/>
              </w:rPr>
              <w:t>clothing (like black pants or white shirts), even if the emp</w:t>
            </w:r>
            <w:r>
              <w:rPr>
                <w:sz w:val="14"/>
                <w:szCs w:val="14"/>
              </w:rPr>
              <w:t>loyer requires them to wear it</w:t>
            </w:r>
            <w:r w:rsidRPr="00E94F99">
              <w:rPr>
                <w:sz w:val="14"/>
                <w:szCs w:val="14"/>
              </w:rPr>
              <w:t>.</w:t>
            </w:r>
          </w:p>
        </w:tc>
        <w:tc>
          <w:tcPr>
            <w:tcW w:w="973" w:type="dxa"/>
          </w:tcPr>
          <w:p w14:paraId="094D8CC5" w14:textId="77777777" w:rsidR="00A97829" w:rsidRPr="005E76D2" w:rsidRDefault="00A97829" w:rsidP="00A97829">
            <w:pPr>
              <w:pStyle w:val="Table"/>
              <w:jc w:val="center"/>
            </w:pPr>
          </w:p>
        </w:tc>
        <w:tc>
          <w:tcPr>
            <w:tcW w:w="1050" w:type="dxa"/>
            <w:gridSpan w:val="2"/>
          </w:tcPr>
          <w:p w14:paraId="7F1E2393" w14:textId="77777777" w:rsidR="00A97829" w:rsidRPr="005E76D2" w:rsidRDefault="00A97829" w:rsidP="00A97829">
            <w:pPr>
              <w:pStyle w:val="Table"/>
              <w:jc w:val="center"/>
            </w:pPr>
          </w:p>
        </w:tc>
        <w:tc>
          <w:tcPr>
            <w:tcW w:w="1226" w:type="dxa"/>
            <w:gridSpan w:val="2"/>
          </w:tcPr>
          <w:p w14:paraId="4247BF94" w14:textId="77777777" w:rsidR="00A97829" w:rsidRPr="005E76D2" w:rsidRDefault="00A97829" w:rsidP="00A97829">
            <w:pPr>
              <w:pStyle w:val="Table"/>
              <w:jc w:val="center"/>
            </w:pPr>
          </w:p>
        </w:tc>
      </w:tr>
      <w:tr w:rsidR="00295571" w:rsidRPr="005E76D2" w14:paraId="14280F2E" w14:textId="77777777" w:rsidTr="0008079A">
        <w:tc>
          <w:tcPr>
            <w:tcW w:w="1242" w:type="dxa"/>
          </w:tcPr>
          <w:p w14:paraId="79244F20" w14:textId="6739C6DB" w:rsidR="00295571" w:rsidRPr="005E76D2" w:rsidRDefault="00295571" w:rsidP="00295571">
            <w:pPr>
              <w:pStyle w:val="Table"/>
            </w:pPr>
            <w:r w:rsidRPr="009A796B">
              <w:t>D4</w:t>
            </w:r>
          </w:p>
        </w:tc>
        <w:tc>
          <w:tcPr>
            <w:tcW w:w="5812" w:type="dxa"/>
            <w:gridSpan w:val="2"/>
          </w:tcPr>
          <w:p w14:paraId="2E8EB3C6" w14:textId="7195F8F1" w:rsidR="00295571" w:rsidRPr="009A796B" w:rsidRDefault="00295571" w:rsidP="00295571">
            <w:pPr>
              <w:pStyle w:val="Table"/>
              <w:rPr>
                <w:b/>
              </w:rPr>
            </w:pPr>
            <w:r w:rsidRPr="009A796B">
              <w:rPr>
                <w:b/>
              </w:rPr>
              <w:t>Work</w:t>
            </w:r>
            <w:r w:rsidR="00F53453">
              <w:rPr>
                <w:b/>
              </w:rPr>
              <w:t>-</w:t>
            </w:r>
            <w:r w:rsidRPr="009A796B">
              <w:rPr>
                <w:b/>
              </w:rPr>
              <w:t>related self-education expenses</w:t>
            </w:r>
          </w:p>
          <w:p w14:paraId="33938234" w14:textId="77777777" w:rsidR="00295571" w:rsidRDefault="00295571" w:rsidP="00295571">
            <w:pPr>
              <w:pStyle w:val="Table"/>
            </w:pPr>
            <w:r>
              <w:t xml:space="preserve">Self-education expenses are generally allowable where the course of study is to maintain or increase the taxpayer’s skills in that person’s current occupation. </w:t>
            </w:r>
            <w:r w:rsidRPr="009A796B">
              <w:t xml:space="preserve">Examples </w:t>
            </w:r>
            <w:r>
              <w:t xml:space="preserve">of such costs </w:t>
            </w:r>
            <w:r w:rsidRPr="009A796B">
              <w:t xml:space="preserve">include </w:t>
            </w:r>
            <w:r>
              <w:t xml:space="preserve">course fees, tuition fees, </w:t>
            </w:r>
            <w:r w:rsidRPr="009A796B">
              <w:t xml:space="preserve">student union fees, </w:t>
            </w:r>
            <w:r>
              <w:t>text</w:t>
            </w:r>
            <w:r w:rsidRPr="009A796B">
              <w:t xml:space="preserve">books, stationery, consumables, travel and depreciation. For further details of eligibility requirements and types of deductions available refer to </w:t>
            </w:r>
            <w:r>
              <w:t xml:space="preserve">Taxation Ruling </w:t>
            </w:r>
            <w:r w:rsidRPr="009A796B">
              <w:t>TR 98/9.</w:t>
            </w:r>
          </w:p>
          <w:p w14:paraId="3CF6E579" w14:textId="77777777" w:rsidR="00295571" w:rsidRDefault="00295571" w:rsidP="00295571">
            <w:pPr>
              <w:pStyle w:val="Table"/>
              <w:rPr>
                <w:sz w:val="14"/>
                <w:szCs w:val="14"/>
              </w:rPr>
            </w:pPr>
            <w:r>
              <w:rPr>
                <w:b/>
                <w:sz w:val="14"/>
                <w:szCs w:val="14"/>
              </w:rPr>
              <w:t>Note</w:t>
            </w:r>
            <w:r w:rsidRPr="00C108A5">
              <w:rPr>
                <w:sz w:val="14"/>
                <w:szCs w:val="14"/>
              </w:rPr>
              <w:t xml:space="preserve">: </w:t>
            </w:r>
            <w:r>
              <w:rPr>
                <w:sz w:val="14"/>
                <w:szCs w:val="14"/>
              </w:rPr>
              <w:t xml:space="preserve">clients are unable to claim fees for courses that only relate to the client’s current employment in a general way or which are undertaken to help gain new employment or an initial qualification. </w:t>
            </w:r>
          </w:p>
          <w:p w14:paraId="00FC85CD" w14:textId="66CE31F7" w:rsidR="00295571" w:rsidRPr="005E76D2" w:rsidRDefault="00295571" w:rsidP="00295571">
            <w:pPr>
              <w:pStyle w:val="Table"/>
              <w:rPr>
                <w:b/>
              </w:rPr>
            </w:pPr>
            <w:r>
              <w:rPr>
                <w:b/>
                <w:sz w:val="14"/>
                <w:szCs w:val="14"/>
              </w:rPr>
              <w:t>Note</w:t>
            </w:r>
            <w:r w:rsidRPr="00C108A5">
              <w:rPr>
                <w:sz w:val="14"/>
                <w:szCs w:val="14"/>
              </w:rPr>
              <w:t>: the ATO pays particular attention to these items so ensure that all claims can be substantiated appropriately. Note also that $250 of eligible self-education expenditure is not allowable.</w:t>
            </w:r>
          </w:p>
        </w:tc>
        <w:tc>
          <w:tcPr>
            <w:tcW w:w="973" w:type="dxa"/>
          </w:tcPr>
          <w:p w14:paraId="72A5B0A8" w14:textId="77777777" w:rsidR="00295571" w:rsidRPr="005E76D2" w:rsidRDefault="00295571" w:rsidP="00295571">
            <w:pPr>
              <w:pStyle w:val="Table"/>
              <w:jc w:val="center"/>
            </w:pPr>
          </w:p>
        </w:tc>
        <w:tc>
          <w:tcPr>
            <w:tcW w:w="1050" w:type="dxa"/>
            <w:gridSpan w:val="2"/>
          </w:tcPr>
          <w:p w14:paraId="59771D29" w14:textId="77777777" w:rsidR="00295571" w:rsidRPr="005E76D2" w:rsidRDefault="00295571" w:rsidP="00295571">
            <w:pPr>
              <w:pStyle w:val="Table"/>
              <w:jc w:val="center"/>
            </w:pPr>
          </w:p>
        </w:tc>
        <w:tc>
          <w:tcPr>
            <w:tcW w:w="1226" w:type="dxa"/>
            <w:gridSpan w:val="2"/>
          </w:tcPr>
          <w:p w14:paraId="49A68423" w14:textId="77777777" w:rsidR="00295571" w:rsidRPr="005E76D2" w:rsidRDefault="00295571" w:rsidP="00295571">
            <w:pPr>
              <w:pStyle w:val="Table"/>
              <w:jc w:val="center"/>
            </w:pPr>
          </w:p>
        </w:tc>
      </w:tr>
    </w:tbl>
    <w:p w14:paraId="2E1A0427" w14:textId="78BC6BC7" w:rsidR="005161F6" w:rsidRDefault="005161F6"/>
    <w:p w14:paraId="6F7F9731" w14:textId="77777777" w:rsidR="00295571" w:rsidRDefault="00295571"/>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5161F6" w:rsidRPr="006F61C9" w14:paraId="34F3B782" w14:textId="77777777" w:rsidTr="00065325">
        <w:tc>
          <w:tcPr>
            <w:tcW w:w="1242" w:type="dxa"/>
            <w:shd w:val="clear" w:color="auto" w:fill="051C3C"/>
          </w:tcPr>
          <w:p w14:paraId="371E1F44" w14:textId="77777777" w:rsidR="005161F6" w:rsidRPr="006F61C9" w:rsidRDefault="005161F6" w:rsidP="00D11C6A">
            <w:pPr>
              <w:pStyle w:val="Table"/>
              <w:rPr>
                <w:b/>
              </w:rPr>
            </w:pPr>
            <w:r w:rsidRPr="006F61C9">
              <w:rPr>
                <w:b/>
              </w:rPr>
              <w:t>Tax Return Reference</w:t>
            </w:r>
          </w:p>
        </w:tc>
        <w:tc>
          <w:tcPr>
            <w:tcW w:w="5753" w:type="dxa"/>
            <w:gridSpan w:val="2"/>
            <w:shd w:val="clear" w:color="auto" w:fill="051C3C"/>
          </w:tcPr>
          <w:p w14:paraId="19A2380A" w14:textId="77777777" w:rsidR="005161F6" w:rsidRPr="006F61C9" w:rsidRDefault="005161F6" w:rsidP="00D11C6A">
            <w:pPr>
              <w:pStyle w:val="Table"/>
              <w:rPr>
                <w:b/>
              </w:rPr>
            </w:pPr>
            <w:r w:rsidRPr="006F61C9">
              <w:rPr>
                <w:b/>
              </w:rPr>
              <w:t>Section of the Income Tax Return</w:t>
            </w:r>
          </w:p>
        </w:tc>
        <w:tc>
          <w:tcPr>
            <w:tcW w:w="1051" w:type="dxa"/>
            <w:gridSpan w:val="2"/>
            <w:shd w:val="clear" w:color="auto" w:fill="051C3C"/>
          </w:tcPr>
          <w:p w14:paraId="7F4CA448" w14:textId="77777777" w:rsidR="005161F6" w:rsidRPr="006F61C9" w:rsidRDefault="005161F6" w:rsidP="00D11C6A">
            <w:pPr>
              <w:pStyle w:val="Table"/>
              <w:jc w:val="center"/>
              <w:rPr>
                <w:b/>
              </w:rPr>
            </w:pPr>
            <w:r w:rsidRPr="006F61C9">
              <w:rPr>
                <w:b/>
              </w:rPr>
              <w:t>Column 1</w:t>
            </w:r>
          </w:p>
          <w:p w14:paraId="3A475764" w14:textId="77777777" w:rsidR="005161F6" w:rsidRPr="006F61C9" w:rsidRDefault="005161F6" w:rsidP="00D11C6A">
            <w:pPr>
              <w:pStyle w:val="Table"/>
              <w:jc w:val="center"/>
              <w:rPr>
                <w:b/>
              </w:rPr>
            </w:pPr>
            <w:r w:rsidRPr="006F61C9">
              <w:rPr>
                <w:b/>
              </w:rPr>
              <w:t>(A) (S) (N/A)</w:t>
            </w:r>
          </w:p>
        </w:tc>
        <w:tc>
          <w:tcPr>
            <w:tcW w:w="1049" w:type="dxa"/>
            <w:gridSpan w:val="2"/>
            <w:shd w:val="clear" w:color="auto" w:fill="051C3C"/>
          </w:tcPr>
          <w:p w14:paraId="5DF06D45" w14:textId="77777777" w:rsidR="005161F6" w:rsidRPr="006F61C9" w:rsidRDefault="005161F6" w:rsidP="00D11C6A">
            <w:pPr>
              <w:pStyle w:val="Table"/>
              <w:jc w:val="center"/>
              <w:rPr>
                <w:b/>
              </w:rPr>
            </w:pPr>
            <w:r w:rsidRPr="006F61C9">
              <w:rPr>
                <w:b/>
              </w:rPr>
              <w:t>Column 2</w:t>
            </w:r>
          </w:p>
          <w:p w14:paraId="6B9CD704" w14:textId="77777777" w:rsidR="005161F6" w:rsidRPr="006F61C9" w:rsidRDefault="005161F6" w:rsidP="00D11C6A">
            <w:pPr>
              <w:pStyle w:val="Table"/>
              <w:jc w:val="center"/>
              <w:rPr>
                <w:b/>
              </w:rPr>
            </w:pPr>
            <w:r w:rsidRPr="006F61C9">
              <w:rPr>
                <w:b/>
              </w:rPr>
              <w:t>WP</w:t>
            </w:r>
          </w:p>
          <w:p w14:paraId="7AF1A451" w14:textId="77777777" w:rsidR="005161F6" w:rsidRPr="006F61C9" w:rsidRDefault="005161F6" w:rsidP="00D11C6A">
            <w:pPr>
              <w:pStyle w:val="Table"/>
              <w:jc w:val="center"/>
              <w:rPr>
                <w:b/>
              </w:rPr>
            </w:pPr>
            <w:r w:rsidRPr="006F61C9">
              <w:rPr>
                <w:b/>
              </w:rPr>
              <w:t>(Y or N)</w:t>
            </w:r>
          </w:p>
        </w:tc>
        <w:tc>
          <w:tcPr>
            <w:tcW w:w="1208" w:type="dxa"/>
            <w:shd w:val="clear" w:color="auto" w:fill="051C3C"/>
          </w:tcPr>
          <w:p w14:paraId="2339BEF9" w14:textId="77777777" w:rsidR="005161F6" w:rsidRPr="006F61C9" w:rsidRDefault="005161F6" w:rsidP="00D11C6A">
            <w:pPr>
              <w:pStyle w:val="Table"/>
              <w:jc w:val="center"/>
              <w:rPr>
                <w:b/>
              </w:rPr>
            </w:pPr>
            <w:r w:rsidRPr="006F61C9">
              <w:rPr>
                <w:b/>
              </w:rPr>
              <w:t>Column 3</w:t>
            </w:r>
          </w:p>
          <w:p w14:paraId="7960208F" w14:textId="77777777" w:rsidR="005161F6" w:rsidRPr="006F61C9" w:rsidRDefault="005161F6" w:rsidP="00D11C6A">
            <w:pPr>
              <w:pStyle w:val="Table"/>
              <w:jc w:val="center"/>
              <w:rPr>
                <w:b/>
              </w:rPr>
            </w:pPr>
            <w:r w:rsidRPr="006F61C9">
              <w:rPr>
                <w:b/>
              </w:rPr>
              <w:t>Attachment</w:t>
            </w:r>
          </w:p>
          <w:p w14:paraId="77CE0070" w14:textId="77777777" w:rsidR="005161F6" w:rsidRPr="006F61C9" w:rsidRDefault="005161F6" w:rsidP="00D11C6A">
            <w:pPr>
              <w:pStyle w:val="Table"/>
              <w:jc w:val="center"/>
              <w:rPr>
                <w:b/>
              </w:rPr>
            </w:pPr>
            <w:r w:rsidRPr="006F61C9">
              <w:rPr>
                <w:b/>
              </w:rPr>
              <w:t>(Y or N)</w:t>
            </w:r>
          </w:p>
        </w:tc>
      </w:tr>
      <w:tr w:rsidR="00C57F56" w:rsidRPr="005E76D2" w14:paraId="4ADC8520" w14:textId="77777777" w:rsidTr="00C57F56">
        <w:tc>
          <w:tcPr>
            <w:tcW w:w="10303" w:type="dxa"/>
            <w:gridSpan w:val="8"/>
            <w:shd w:val="clear" w:color="auto" w:fill="D9D9D9" w:themeFill="background1" w:themeFillShade="D9"/>
            <w:vAlign w:val="center"/>
          </w:tcPr>
          <w:p w14:paraId="04D3C295" w14:textId="77777777" w:rsidR="00C57F56" w:rsidRPr="00AF24CF" w:rsidRDefault="00C57F56" w:rsidP="00B705C8">
            <w:pPr>
              <w:pStyle w:val="Tableheading"/>
            </w:pPr>
            <w:r w:rsidRPr="003D6B93">
              <w:t xml:space="preserve">Deductions </w:t>
            </w:r>
            <w:r w:rsidRPr="00C57F56">
              <w:rPr>
                <w:b w:val="0"/>
              </w:rPr>
              <w:t>(continued)</w:t>
            </w:r>
          </w:p>
        </w:tc>
      </w:tr>
      <w:tr w:rsidR="00204F56" w:rsidRPr="005E76D2" w14:paraId="457C603A" w14:textId="77777777" w:rsidTr="00F17C65">
        <w:tc>
          <w:tcPr>
            <w:tcW w:w="1242" w:type="dxa"/>
          </w:tcPr>
          <w:p w14:paraId="07012FDB" w14:textId="77777777" w:rsidR="00204F56" w:rsidRPr="005E76D2" w:rsidRDefault="00204F56" w:rsidP="001226F9">
            <w:pPr>
              <w:pStyle w:val="Table"/>
            </w:pPr>
            <w:r w:rsidRPr="009A796B">
              <w:t>D5</w:t>
            </w:r>
          </w:p>
        </w:tc>
        <w:tc>
          <w:tcPr>
            <w:tcW w:w="5737" w:type="dxa"/>
          </w:tcPr>
          <w:p w14:paraId="5395AB71" w14:textId="0670467E" w:rsidR="00204F56" w:rsidRPr="009A796B" w:rsidRDefault="00204F56" w:rsidP="00C41A13">
            <w:pPr>
              <w:pStyle w:val="Table"/>
              <w:rPr>
                <w:b/>
              </w:rPr>
            </w:pPr>
            <w:r w:rsidRPr="009A796B">
              <w:rPr>
                <w:b/>
              </w:rPr>
              <w:t xml:space="preserve">Other </w:t>
            </w:r>
            <w:r w:rsidR="00446CF2" w:rsidRPr="009A796B">
              <w:rPr>
                <w:b/>
              </w:rPr>
              <w:t>work-related</w:t>
            </w:r>
            <w:r w:rsidRPr="009A796B">
              <w:rPr>
                <w:b/>
              </w:rPr>
              <w:t xml:space="preserve"> expenses</w:t>
            </w:r>
          </w:p>
          <w:p w14:paraId="2FDEE173" w14:textId="3B647487" w:rsidR="00204F56" w:rsidRPr="009A796B" w:rsidRDefault="00204F56" w:rsidP="00C41A13">
            <w:pPr>
              <w:pStyle w:val="Table"/>
            </w:pPr>
            <w:r w:rsidRPr="009A796B">
              <w:t xml:space="preserve">Examples </w:t>
            </w:r>
            <w:r w:rsidR="00C44281">
              <w:t xml:space="preserve">of </w:t>
            </w:r>
            <w:r w:rsidR="004572A4">
              <w:t xml:space="preserve">other </w:t>
            </w:r>
            <w:r w:rsidR="00C44281">
              <w:t xml:space="preserve">work-related deductions </w:t>
            </w:r>
            <w:r w:rsidRPr="009A796B">
              <w:t xml:space="preserve">include union fees, </w:t>
            </w:r>
            <w:r w:rsidR="00F46396">
              <w:t xml:space="preserve">professional </w:t>
            </w:r>
            <w:r w:rsidRPr="009A796B">
              <w:t xml:space="preserve">seminars, </w:t>
            </w:r>
            <w:r w:rsidR="00F46396">
              <w:t xml:space="preserve">certain </w:t>
            </w:r>
            <w:r w:rsidRPr="009A796B">
              <w:t xml:space="preserve">overtime meals, home office, </w:t>
            </w:r>
            <w:r w:rsidR="006661F7">
              <w:t xml:space="preserve">business or professional </w:t>
            </w:r>
            <w:r w:rsidRPr="009A796B">
              <w:t xml:space="preserve">subscriptions, briefcase, calculator, </w:t>
            </w:r>
            <w:r w:rsidR="00F46396">
              <w:t>reference books, technical journals, safety items, work-related computer</w:t>
            </w:r>
            <w:r w:rsidR="00C44281">
              <w:t xml:space="preserve"> and </w:t>
            </w:r>
            <w:r w:rsidR="00F46396">
              <w:t>phone and internet expenses</w:t>
            </w:r>
            <w:r w:rsidR="00C44281">
              <w:t xml:space="preserve">. However, deductions should only be claimed to the extent that the expense was used to </w:t>
            </w:r>
            <w:r w:rsidR="006661F7">
              <w:t>derive salary</w:t>
            </w:r>
            <w:r w:rsidR="00C44281">
              <w:t xml:space="preserve"> income. </w:t>
            </w:r>
            <w:r w:rsidR="00185E07">
              <w:t>A n</w:t>
            </w:r>
            <w:r w:rsidR="00C44281">
              <w:t xml:space="preserve">on-business depreciating </w:t>
            </w:r>
            <w:r w:rsidRPr="009A796B">
              <w:t xml:space="preserve">asset </w:t>
            </w:r>
            <w:r w:rsidR="00C44281">
              <w:t xml:space="preserve">whose cost does not </w:t>
            </w:r>
            <w:r w:rsidRPr="009A796B">
              <w:t>exceed $300</w:t>
            </w:r>
            <w:r w:rsidR="00C44281">
              <w:t xml:space="preserve"> is also deductible to the extent that the asset (e.g. briefcase or calculator) is used for income producing purposes</w:t>
            </w:r>
            <w:r w:rsidRPr="009A796B">
              <w:t>.</w:t>
            </w:r>
          </w:p>
          <w:p w14:paraId="6880604A" w14:textId="088DF956" w:rsidR="006661F7" w:rsidRPr="005E76D2" w:rsidRDefault="00204F56" w:rsidP="00185E07">
            <w:pPr>
              <w:pStyle w:val="Table"/>
              <w:rPr>
                <w:b/>
              </w:rPr>
            </w:pPr>
            <w:r w:rsidRPr="00C108A5">
              <w:rPr>
                <w:b/>
                <w:sz w:val="14"/>
                <w:szCs w:val="14"/>
              </w:rPr>
              <w:t>Note:</w:t>
            </w:r>
            <w:r w:rsidRPr="00C108A5">
              <w:rPr>
                <w:sz w:val="14"/>
                <w:szCs w:val="14"/>
              </w:rPr>
              <w:t xml:space="preserve"> deductions differ for a home office depending on whether it is a place of business or an office used away from the normal workplace. If </w:t>
            </w:r>
            <w:r w:rsidR="00595C29">
              <w:rPr>
                <w:sz w:val="14"/>
                <w:szCs w:val="14"/>
              </w:rPr>
              <w:t xml:space="preserve">it is </w:t>
            </w:r>
            <w:r w:rsidR="00C20DB3">
              <w:rPr>
                <w:sz w:val="14"/>
                <w:szCs w:val="14"/>
              </w:rPr>
              <w:t xml:space="preserve">the latter and </w:t>
            </w:r>
            <w:r w:rsidRPr="00C108A5">
              <w:rPr>
                <w:sz w:val="14"/>
                <w:szCs w:val="14"/>
              </w:rPr>
              <w:t xml:space="preserve">the appropriate diary has been maintained </w:t>
            </w:r>
            <w:r w:rsidR="006661F7" w:rsidRPr="00C108A5">
              <w:rPr>
                <w:sz w:val="14"/>
                <w:szCs w:val="14"/>
              </w:rPr>
              <w:t xml:space="preserve">for </w:t>
            </w:r>
            <w:r w:rsidR="006661F7">
              <w:rPr>
                <w:sz w:val="14"/>
                <w:szCs w:val="14"/>
              </w:rPr>
              <w:t xml:space="preserve">the </w:t>
            </w:r>
            <w:r w:rsidR="006661F7" w:rsidRPr="00C108A5">
              <w:rPr>
                <w:sz w:val="14"/>
                <w:szCs w:val="14"/>
              </w:rPr>
              <w:t xml:space="preserve">required </w:t>
            </w:r>
            <w:r w:rsidR="00185E07">
              <w:rPr>
                <w:sz w:val="14"/>
                <w:szCs w:val="14"/>
              </w:rPr>
              <w:t xml:space="preserve">four </w:t>
            </w:r>
            <w:r w:rsidR="00C20DB3">
              <w:rPr>
                <w:sz w:val="14"/>
                <w:szCs w:val="14"/>
              </w:rPr>
              <w:t xml:space="preserve">week </w:t>
            </w:r>
            <w:r w:rsidR="006661F7" w:rsidRPr="00C108A5">
              <w:rPr>
                <w:sz w:val="14"/>
                <w:szCs w:val="14"/>
              </w:rPr>
              <w:t>period</w:t>
            </w:r>
            <w:r w:rsidR="006661F7">
              <w:rPr>
                <w:sz w:val="14"/>
                <w:szCs w:val="14"/>
              </w:rPr>
              <w:t xml:space="preserve">, </w:t>
            </w:r>
            <w:r w:rsidRPr="00C108A5">
              <w:rPr>
                <w:sz w:val="14"/>
                <w:szCs w:val="14"/>
              </w:rPr>
              <w:t xml:space="preserve">you can use the cents per hour method (currently </w:t>
            </w:r>
            <w:r w:rsidR="00F46396">
              <w:rPr>
                <w:sz w:val="14"/>
                <w:szCs w:val="14"/>
              </w:rPr>
              <w:t>45</w:t>
            </w:r>
            <w:r w:rsidRPr="00C108A5">
              <w:rPr>
                <w:sz w:val="14"/>
                <w:szCs w:val="14"/>
              </w:rPr>
              <w:t xml:space="preserve"> cents per hour) when calculating the amount of the deduction for additional </w:t>
            </w:r>
            <w:r w:rsidR="00595C29">
              <w:rPr>
                <w:sz w:val="14"/>
                <w:szCs w:val="14"/>
              </w:rPr>
              <w:t>costs of running the home office on a per hour basis</w:t>
            </w:r>
            <w:r w:rsidRPr="00C108A5">
              <w:rPr>
                <w:sz w:val="14"/>
                <w:szCs w:val="14"/>
              </w:rPr>
              <w:t>.</w:t>
            </w:r>
            <w:r w:rsidR="006661F7">
              <w:rPr>
                <w:sz w:val="14"/>
                <w:szCs w:val="14"/>
              </w:rPr>
              <w:t xml:space="preserve"> </w:t>
            </w:r>
            <w:r w:rsidRPr="00C108A5">
              <w:rPr>
                <w:sz w:val="14"/>
                <w:szCs w:val="14"/>
              </w:rPr>
              <w:t xml:space="preserve">Refer to </w:t>
            </w:r>
            <w:r w:rsidR="00F46396">
              <w:rPr>
                <w:sz w:val="14"/>
                <w:szCs w:val="14"/>
              </w:rPr>
              <w:t xml:space="preserve">Taxation Ruling </w:t>
            </w:r>
            <w:r w:rsidR="00C108A5">
              <w:rPr>
                <w:sz w:val="14"/>
                <w:szCs w:val="14"/>
              </w:rPr>
              <w:t>T</w:t>
            </w:r>
            <w:r w:rsidRPr="00C108A5">
              <w:rPr>
                <w:sz w:val="14"/>
                <w:szCs w:val="14"/>
              </w:rPr>
              <w:t>R 93/30 for further information on eligible home office expenses.</w:t>
            </w:r>
          </w:p>
        </w:tc>
        <w:tc>
          <w:tcPr>
            <w:tcW w:w="1048" w:type="dxa"/>
            <w:gridSpan w:val="2"/>
          </w:tcPr>
          <w:p w14:paraId="1FFAF19E" w14:textId="77777777" w:rsidR="00204F56" w:rsidRPr="005E76D2" w:rsidRDefault="00204F56" w:rsidP="00FC1E35">
            <w:pPr>
              <w:pStyle w:val="Table"/>
              <w:jc w:val="center"/>
            </w:pPr>
          </w:p>
        </w:tc>
        <w:tc>
          <w:tcPr>
            <w:tcW w:w="1050" w:type="dxa"/>
            <w:gridSpan w:val="2"/>
          </w:tcPr>
          <w:p w14:paraId="7914021A" w14:textId="77777777" w:rsidR="00204F56" w:rsidRPr="005E76D2" w:rsidRDefault="00204F56" w:rsidP="00FC1E35">
            <w:pPr>
              <w:pStyle w:val="Table"/>
              <w:jc w:val="center"/>
            </w:pPr>
          </w:p>
        </w:tc>
        <w:tc>
          <w:tcPr>
            <w:tcW w:w="1226" w:type="dxa"/>
            <w:gridSpan w:val="2"/>
          </w:tcPr>
          <w:p w14:paraId="0FA19922" w14:textId="77777777" w:rsidR="00204F56" w:rsidRPr="005E76D2" w:rsidRDefault="00204F56" w:rsidP="00FC1E35">
            <w:pPr>
              <w:pStyle w:val="Table"/>
              <w:jc w:val="center"/>
            </w:pPr>
          </w:p>
        </w:tc>
      </w:tr>
      <w:tr w:rsidR="00204F56" w:rsidRPr="005E76D2" w14:paraId="76415F98" w14:textId="77777777" w:rsidTr="00F17C65">
        <w:tc>
          <w:tcPr>
            <w:tcW w:w="1242" w:type="dxa"/>
          </w:tcPr>
          <w:p w14:paraId="4F8477B9" w14:textId="77777777" w:rsidR="00204F56" w:rsidRPr="005E76D2" w:rsidRDefault="00204F56" w:rsidP="001226F9">
            <w:pPr>
              <w:pStyle w:val="Table"/>
            </w:pPr>
            <w:r w:rsidRPr="005E76D2">
              <w:t>D6</w:t>
            </w:r>
          </w:p>
        </w:tc>
        <w:tc>
          <w:tcPr>
            <w:tcW w:w="5737" w:type="dxa"/>
          </w:tcPr>
          <w:p w14:paraId="27F1C834" w14:textId="77777777" w:rsidR="00204F56" w:rsidRDefault="00204F56" w:rsidP="00C41A13">
            <w:pPr>
              <w:pStyle w:val="Table"/>
              <w:rPr>
                <w:b/>
              </w:rPr>
            </w:pPr>
            <w:r w:rsidRPr="005E76D2">
              <w:rPr>
                <w:b/>
              </w:rPr>
              <w:t>Low-value pool deduction</w:t>
            </w:r>
          </w:p>
          <w:p w14:paraId="45FE3D66" w14:textId="77777777" w:rsidR="00C22F47" w:rsidRDefault="00204F56" w:rsidP="00C41A13">
            <w:pPr>
              <w:pStyle w:val="Table"/>
            </w:pPr>
            <w:r w:rsidRPr="00AF349D">
              <w:t xml:space="preserve">The claim for the decline in value of low-cost and low-value assets </w:t>
            </w:r>
            <w:r w:rsidR="00C22F47">
              <w:t xml:space="preserve">which have been allocated to a low-value pool which were </w:t>
            </w:r>
            <w:r w:rsidRPr="00AF349D">
              <w:t xml:space="preserve">used in the course of producing </w:t>
            </w:r>
            <w:r w:rsidR="00F46396">
              <w:t xml:space="preserve">assessable </w:t>
            </w:r>
            <w:r w:rsidRPr="00AF349D">
              <w:t>income shown in the tax return.</w:t>
            </w:r>
            <w:r w:rsidR="00C22F47">
              <w:t xml:space="preserve"> Low-cost assets are depreciating assets costing less than $1,000 whilst low-value assets are assets which are in excess of $1,000 but which have been written off to less than $1,000 under the diminishing value method.</w:t>
            </w:r>
          </w:p>
          <w:p w14:paraId="30149426" w14:textId="77777777" w:rsidR="005E0C7E" w:rsidRDefault="00C22F47" w:rsidP="00C41A13">
            <w:pPr>
              <w:pStyle w:val="Table"/>
              <w:rPr>
                <w:sz w:val="14"/>
                <w:szCs w:val="14"/>
              </w:rPr>
            </w:pPr>
            <w:r w:rsidRPr="00C108A5">
              <w:rPr>
                <w:b/>
                <w:sz w:val="14"/>
                <w:szCs w:val="14"/>
              </w:rPr>
              <w:t>Note:</w:t>
            </w:r>
            <w:r w:rsidRPr="00C108A5">
              <w:rPr>
                <w:sz w:val="14"/>
                <w:szCs w:val="14"/>
              </w:rPr>
              <w:t xml:space="preserve"> </w:t>
            </w:r>
            <w:r w:rsidR="005E0C7E">
              <w:rPr>
                <w:sz w:val="14"/>
                <w:szCs w:val="14"/>
              </w:rPr>
              <w:t>once a client has allocated a low-cost asset to a low-value pool all low-cost assets subsequently acquired must be allocated to that pool.</w:t>
            </w:r>
          </w:p>
          <w:p w14:paraId="019A3E1F" w14:textId="5F2C4F70" w:rsidR="00204F56" w:rsidRPr="00AF349D" w:rsidRDefault="005E0C7E" w:rsidP="00C41A13">
            <w:pPr>
              <w:pStyle w:val="Table"/>
            </w:pPr>
            <w:r w:rsidRPr="00C108A5">
              <w:rPr>
                <w:b/>
                <w:sz w:val="14"/>
                <w:szCs w:val="14"/>
              </w:rPr>
              <w:t>Note:</w:t>
            </w:r>
            <w:r w:rsidRPr="00C108A5">
              <w:rPr>
                <w:sz w:val="14"/>
                <w:szCs w:val="14"/>
              </w:rPr>
              <w:t xml:space="preserve"> </w:t>
            </w:r>
            <w:r>
              <w:rPr>
                <w:sz w:val="14"/>
                <w:szCs w:val="14"/>
              </w:rPr>
              <w:t>certain assets cannot be pooled including non-business assets costing</w:t>
            </w:r>
            <w:r w:rsidR="00D351D8">
              <w:rPr>
                <w:sz w:val="14"/>
                <w:szCs w:val="14"/>
              </w:rPr>
              <w:t xml:space="preserve"> </w:t>
            </w:r>
            <w:r>
              <w:rPr>
                <w:sz w:val="14"/>
                <w:szCs w:val="14"/>
              </w:rPr>
              <w:t xml:space="preserve">$300 or less, certain portable electronic devices, horticultural plants, assets previously depreciated under the prime cost method and assets subject to the small business entity depreciation rules.    </w:t>
            </w:r>
            <w:r w:rsidR="00C22F47">
              <w:t xml:space="preserve">     </w:t>
            </w:r>
          </w:p>
        </w:tc>
        <w:tc>
          <w:tcPr>
            <w:tcW w:w="1048" w:type="dxa"/>
            <w:gridSpan w:val="2"/>
          </w:tcPr>
          <w:p w14:paraId="154DECD4" w14:textId="77777777" w:rsidR="00204F56" w:rsidRPr="005E76D2" w:rsidRDefault="00204F56" w:rsidP="00FC1E35">
            <w:pPr>
              <w:pStyle w:val="Table"/>
              <w:jc w:val="center"/>
            </w:pPr>
          </w:p>
        </w:tc>
        <w:tc>
          <w:tcPr>
            <w:tcW w:w="1050" w:type="dxa"/>
            <w:gridSpan w:val="2"/>
          </w:tcPr>
          <w:p w14:paraId="69833205" w14:textId="77777777" w:rsidR="00204F56" w:rsidRPr="005E76D2" w:rsidRDefault="00204F56" w:rsidP="00FC1E35">
            <w:pPr>
              <w:pStyle w:val="Table"/>
              <w:jc w:val="center"/>
            </w:pPr>
          </w:p>
        </w:tc>
        <w:tc>
          <w:tcPr>
            <w:tcW w:w="1226" w:type="dxa"/>
            <w:gridSpan w:val="2"/>
          </w:tcPr>
          <w:p w14:paraId="6922C736" w14:textId="77777777" w:rsidR="00204F56" w:rsidRPr="005E76D2" w:rsidRDefault="00204F56" w:rsidP="00FC1E35">
            <w:pPr>
              <w:pStyle w:val="Table"/>
              <w:jc w:val="center"/>
            </w:pPr>
          </w:p>
        </w:tc>
      </w:tr>
      <w:tr w:rsidR="00204F56" w:rsidRPr="005E76D2" w14:paraId="60D6B7BC" w14:textId="77777777" w:rsidTr="00F17C65">
        <w:tc>
          <w:tcPr>
            <w:tcW w:w="1242" w:type="dxa"/>
          </w:tcPr>
          <w:p w14:paraId="44FD4986" w14:textId="77777777" w:rsidR="00204F56" w:rsidRPr="005E76D2" w:rsidRDefault="00204F56" w:rsidP="001226F9">
            <w:pPr>
              <w:pStyle w:val="Table"/>
            </w:pPr>
            <w:r w:rsidRPr="005E76D2">
              <w:t>D7</w:t>
            </w:r>
          </w:p>
        </w:tc>
        <w:tc>
          <w:tcPr>
            <w:tcW w:w="5737" w:type="dxa"/>
          </w:tcPr>
          <w:p w14:paraId="43FA6488" w14:textId="3638603C" w:rsidR="00204F56" w:rsidRDefault="00204F56" w:rsidP="00C41A13">
            <w:pPr>
              <w:pStyle w:val="Table"/>
              <w:rPr>
                <w:b/>
              </w:rPr>
            </w:pPr>
            <w:r w:rsidRPr="005E76D2">
              <w:rPr>
                <w:b/>
              </w:rPr>
              <w:t>Interest deductions</w:t>
            </w:r>
          </w:p>
          <w:p w14:paraId="755EDDB8" w14:textId="77777777" w:rsidR="00106283" w:rsidRDefault="00901604" w:rsidP="00106283">
            <w:pPr>
              <w:pStyle w:val="Table"/>
            </w:pPr>
            <w:r w:rsidRPr="00BB7910">
              <w:t>Includes bank charges and interest on funds borrowed to purchase interest bearing investments</w:t>
            </w:r>
            <w:r>
              <w:t>.</w:t>
            </w:r>
            <w:r w:rsidRPr="00BB7910">
              <w:t xml:space="preserve"> </w:t>
            </w:r>
          </w:p>
          <w:p w14:paraId="77EFA0DA" w14:textId="536CC1D2" w:rsidR="00204F56" w:rsidRPr="005E76D2" w:rsidRDefault="00204F56" w:rsidP="00106283">
            <w:pPr>
              <w:pStyle w:val="Table"/>
            </w:pPr>
            <w:r w:rsidRPr="005E76D2">
              <w:t xml:space="preserve">Cannot be claimed unless </w:t>
            </w:r>
            <w:r w:rsidR="005E0C7E">
              <w:t xml:space="preserve">interest </w:t>
            </w:r>
            <w:r w:rsidRPr="005E76D2">
              <w:t>income at question 10.</w:t>
            </w:r>
          </w:p>
        </w:tc>
        <w:tc>
          <w:tcPr>
            <w:tcW w:w="1048" w:type="dxa"/>
            <w:gridSpan w:val="2"/>
          </w:tcPr>
          <w:p w14:paraId="3EFAB72B" w14:textId="77777777" w:rsidR="00204F56" w:rsidRPr="005E76D2" w:rsidRDefault="00204F56" w:rsidP="00FC1E35">
            <w:pPr>
              <w:pStyle w:val="Table"/>
              <w:jc w:val="center"/>
            </w:pPr>
          </w:p>
        </w:tc>
        <w:tc>
          <w:tcPr>
            <w:tcW w:w="1050" w:type="dxa"/>
            <w:gridSpan w:val="2"/>
          </w:tcPr>
          <w:p w14:paraId="3351BCB8" w14:textId="77777777" w:rsidR="00204F56" w:rsidRPr="005E76D2" w:rsidRDefault="00204F56" w:rsidP="00FC1E35">
            <w:pPr>
              <w:pStyle w:val="Table"/>
              <w:jc w:val="center"/>
            </w:pPr>
          </w:p>
        </w:tc>
        <w:tc>
          <w:tcPr>
            <w:tcW w:w="1226" w:type="dxa"/>
            <w:gridSpan w:val="2"/>
          </w:tcPr>
          <w:p w14:paraId="61C1BF5A" w14:textId="77777777" w:rsidR="00204F56" w:rsidRPr="005E76D2" w:rsidRDefault="00204F56" w:rsidP="00FC1E35">
            <w:pPr>
              <w:pStyle w:val="Table"/>
              <w:jc w:val="center"/>
            </w:pPr>
          </w:p>
        </w:tc>
      </w:tr>
      <w:tr w:rsidR="00204F56" w:rsidRPr="005E76D2" w14:paraId="3AD6767E" w14:textId="77777777" w:rsidTr="00F17C65">
        <w:tc>
          <w:tcPr>
            <w:tcW w:w="1242" w:type="dxa"/>
          </w:tcPr>
          <w:p w14:paraId="2853918C" w14:textId="77777777" w:rsidR="00204F56" w:rsidRPr="005E76D2" w:rsidRDefault="00204F56" w:rsidP="001226F9">
            <w:pPr>
              <w:pStyle w:val="Table"/>
            </w:pPr>
            <w:r w:rsidRPr="005E76D2">
              <w:t>D8</w:t>
            </w:r>
          </w:p>
        </w:tc>
        <w:tc>
          <w:tcPr>
            <w:tcW w:w="5737" w:type="dxa"/>
          </w:tcPr>
          <w:p w14:paraId="29037111" w14:textId="7F02093D" w:rsidR="00204F56" w:rsidRDefault="00204F56" w:rsidP="00C41A13">
            <w:pPr>
              <w:pStyle w:val="Table"/>
              <w:rPr>
                <w:b/>
              </w:rPr>
            </w:pPr>
            <w:r w:rsidRPr="005E76D2">
              <w:rPr>
                <w:b/>
              </w:rPr>
              <w:t>Dividend deductions</w:t>
            </w:r>
          </w:p>
          <w:p w14:paraId="0E547760" w14:textId="77777777" w:rsidR="00106283" w:rsidRDefault="00901604" w:rsidP="00083502">
            <w:pPr>
              <w:pStyle w:val="Table"/>
            </w:pPr>
            <w:r w:rsidRPr="00BB7910">
              <w:t xml:space="preserve">Includes interest charged on funds borrowed to purchase shares or similar investments </w:t>
            </w:r>
            <w:r w:rsidR="007512C7">
              <w:t xml:space="preserve">and the purchase of specialist investment journals </w:t>
            </w:r>
            <w:r w:rsidR="00446CF2">
              <w:t>or subscriptions</w:t>
            </w:r>
            <w:r w:rsidR="00B62483">
              <w:t>.</w:t>
            </w:r>
            <w:r w:rsidRPr="00BB7910">
              <w:t xml:space="preserve"> </w:t>
            </w:r>
          </w:p>
          <w:p w14:paraId="04155E6A" w14:textId="5974486F" w:rsidR="00204F56" w:rsidRPr="005E76D2" w:rsidRDefault="00204F56" w:rsidP="00083502">
            <w:pPr>
              <w:pStyle w:val="Table"/>
            </w:pPr>
            <w:r w:rsidRPr="005E76D2">
              <w:t xml:space="preserve">Cannot be claimed unless </w:t>
            </w:r>
            <w:r w:rsidR="005E0C7E">
              <w:t xml:space="preserve">dividend </w:t>
            </w:r>
            <w:r w:rsidRPr="005E76D2">
              <w:t>income at question 11.</w:t>
            </w:r>
          </w:p>
        </w:tc>
        <w:tc>
          <w:tcPr>
            <w:tcW w:w="1048" w:type="dxa"/>
            <w:gridSpan w:val="2"/>
          </w:tcPr>
          <w:p w14:paraId="42D3B5B1" w14:textId="77777777" w:rsidR="00204F56" w:rsidRPr="005E76D2" w:rsidRDefault="00204F56" w:rsidP="00FC1E35">
            <w:pPr>
              <w:pStyle w:val="Table"/>
              <w:jc w:val="center"/>
            </w:pPr>
          </w:p>
        </w:tc>
        <w:tc>
          <w:tcPr>
            <w:tcW w:w="1050" w:type="dxa"/>
            <w:gridSpan w:val="2"/>
          </w:tcPr>
          <w:p w14:paraId="4EEE0F15" w14:textId="77777777" w:rsidR="00204F56" w:rsidRPr="005E76D2" w:rsidRDefault="00204F56" w:rsidP="00FC1E35">
            <w:pPr>
              <w:pStyle w:val="Table"/>
              <w:jc w:val="center"/>
            </w:pPr>
          </w:p>
        </w:tc>
        <w:tc>
          <w:tcPr>
            <w:tcW w:w="1226" w:type="dxa"/>
            <w:gridSpan w:val="2"/>
          </w:tcPr>
          <w:p w14:paraId="1DC572EB" w14:textId="77777777" w:rsidR="00204F56" w:rsidRPr="005E76D2" w:rsidRDefault="00204F56" w:rsidP="00FC1E35">
            <w:pPr>
              <w:pStyle w:val="Table"/>
              <w:jc w:val="center"/>
            </w:pPr>
          </w:p>
        </w:tc>
      </w:tr>
      <w:tr w:rsidR="00185E07" w:rsidRPr="005E76D2" w14:paraId="09706A88" w14:textId="77777777" w:rsidTr="00F17C65">
        <w:tc>
          <w:tcPr>
            <w:tcW w:w="1242" w:type="dxa"/>
          </w:tcPr>
          <w:p w14:paraId="55D286B1" w14:textId="0BC192C5" w:rsidR="00185E07" w:rsidRPr="005E76D2" w:rsidRDefault="00185E07" w:rsidP="00185E07">
            <w:pPr>
              <w:pStyle w:val="Table"/>
            </w:pPr>
            <w:r w:rsidRPr="005E76D2">
              <w:t>D9</w:t>
            </w:r>
          </w:p>
        </w:tc>
        <w:tc>
          <w:tcPr>
            <w:tcW w:w="5737" w:type="dxa"/>
          </w:tcPr>
          <w:p w14:paraId="1C283E19" w14:textId="77777777" w:rsidR="00185E07" w:rsidRPr="005E76D2" w:rsidRDefault="00185E07" w:rsidP="00185E07">
            <w:pPr>
              <w:pStyle w:val="Table"/>
              <w:keepNext/>
              <w:rPr>
                <w:b/>
              </w:rPr>
            </w:pPr>
            <w:r w:rsidRPr="005E76D2">
              <w:rPr>
                <w:b/>
              </w:rPr>
              <w:t>Gifts or donations</w:t>
            </w:r>
          </w:p>
          <w:p w14:paraId="4EE31734" w14:textId="77777777" w:rsidR="00185E07" w:rsidRDefault="00185E07" w:rsidP="00185E07">
            <w:pPr>
              <w:pStyle w:val="Table"/>
              <w:keepNext/>
            </w:pPr>
            <w:r w:rsidRPr="005E76D2">
              <w:t>Ensure that all donations are endorsed deductible gift recipients and that the client did not receive any tangible benefit from making the donation</w:t>
            </w:r>
            <w:r>
              <w:t xml:space="preserve">, and has receipts to evidence the making of such donations.  </w:t>
            </w:r>
          </w:p>
          <w:p w14:paraId="78FE02B9" w14:textId="77777777" w:rsidR="00185E07" w:rsidRPr="008E602D" w:rsidRDefault="00185E07" w:rsidP="00185E07">
            <w:pPr>
              <w:pStyle w:val="Table"/>
              <w:keepNext/>
              <w:rPr>
                <w:sz w:val="14"/>
                <w:szCs w:val="14"/>
              </w:rPr>
            </w:pPr>
            <w:r w:rsidRPr="008E602D">
              <w:rPr>
                <w:b/>
                <w:sz w:val="14"/>
                <w:szCs w:val="14"/>
              </w:rPr>
              <w:t>Note:</w:t>
            </w:r>
            <w:r w:rsidRPr="008E602D">
              <w:rPr>
                <w:sz w:val="14"/>
                <w:szCs w:val="14"/>
              </w:rPr>
              <w:t xml:space="preserve"> </w:t>
            </w:r>
            <w:r>
              <w:rPr>
                <w:sz w:val="14"/>
                <w:szCs w:val="14"/>
              </w:rPr>
              <w:t>f</w:t>
            </w:r>
            <w:r w:rsidRPr="008E602D">
              <w:rPr>
                <w:sz w:val="14"/>
                <w:szCs w:val="14"/>
              </w:rPr>
              <w:t xml:space="preserve">or gold-coin donations (bucket collections) the client can claim </w:t>
            </w:r>
            <w:r>
              <w:rPr>
                <w:sz w:val="14"/>
                <w:szCs w:val="14"/>
              </w:rPr>
              <w:t xml:space="preserve">a deduction </w:t>
            </w:r>
            <w:r w:rsidRPr="008E602D">
              <w:rPr>
                <w:sz w:val="14"/>
                <w:szCs w:val="14"/>
              </w:rPr>
              <w:t>equal to the contribution, up to $10 total, without a receipt.</w:t>
            </w:r>
          </w:p>
          <w:p w14:paraId="08861077" w14:textId="43BB756F" w:rsidR="00185E07" w:rsidRPr="005E76D2" w:rsidRDefault="00185E07" w:rsidP="00185E07">
            <w:pPr>
              <w:pStyle w:val="Table"/>
              <w:rPr>
                <w:b/>
              </w:rPr>
            </w:pPr>
            <w:r w:rsidRPr="00C108A5">
              <w:rPr>
                <w:b/>
                <w:sz w:val="14"/>
                <w:szCs w:val="14"/>
              </w:rPr>
              <w:t>Note</w:t>
            </w:r>
            <w:r w:rsidRPr="00C108A5">
              <w:rPr>
                <w:sz w:val="14"/>
                <w:szCs w:val="14"/>
              </w:rPr>
              <w:t xml:space="preserve">: section 26-55 of the </w:t>
            </w:r>
            <w:r w:rsidRPr="00C108A5">
              <w:rPr>
                <w:i/>
                <w:sz w:val="14"/>
                <w:szCs w:val="14"/>
              </w:rPr>
              <w:t>Income Tax Assessment Act</w:t>
            </w:r>
            <w:r w:rsidRPr="00C108A5">
              <w:rPr>
                <w:sz w:val="14"/>
                <w:szCs w:val="14"/>
              </w:rPr>
              <w:t xml:space="preserve"> </w:t>
            </w:r>
            <w:r w:rsidRPr="00C108A5">
              <w:rPr>
                <w:i/>
                <w:sz w:val="14"/>
                <w:szCs w:val="14"/>
              </w:rPr>
              <w:t>1997</w:t>
            </w:r>
            <w:r w:rsidRPr="00C108A5">
              <w:rPr>
                <w:sz w:val="14"/>
                <w:szCs w:val="14"/>
              </w:rPr>
              <w:t xml:space="preserve"> (ITAA 1997) limits the amount of the donation deduction</w:t>
            </w:r>
            <w:r>
              <w:rPr>
                <w:sz w:val="14"/>
                <w:szCs w:val="14"/>
              </w:rPr>
              <w:t xml:space="preserve"> as the making of a deductible gift</w:t>
            </w:r>
            <w:r w:rsidRPr="00C108A5">
              <w:rPr>
                <w:sz w:val="14"/>
                <w:szCs w:val="14"/>
              </w:rPr>
              <w:t xml:space="preserve"> cannot create a tax loss. Where the deductible donation amount exceeds this limit, you </w:t>
            </w:r>
            <w:r>
              <w:rPr>
                <w:sz w:val="14"/>
                <w:szCs w:val="14"/>
              </w:rPr>
              <w:t>may</w:t>
            </w:r>
            <w:r w:rsidRPr="00C108A5">
              <w:rPr>
                <w:sz w:val="14"/>
                <w:szCs w:val="14"/>
              </w:rPr>
              <w:t xml:space="preserve"> elect to carry forward the donation deduction and claim this over a maximum of five years (for certain gifts where the conditions of subdivision 30DB of the ITAA 1997 are met).</w:t>
            </w:r>
          </w:p>
        </w:tc>
        <w:tc>
          <w:tcPr>
            <w:tcW w:w="1048" w:type="dxa"/>
            <w:gridSpan w:val="2"/>
          </w:tcPr>
          <w:p w14:paraId="1A3268BE" w14:textId="77777777" w:rsidR="00185E07" w:rsidRPr="005E76D2" w:rsidRDefault="00185E07" w:rsidP="00185E07">
            <w:pPr>
              <w:pStyle w:val="Table"/>
              <w:jc w:val="center"/>
            </w:pPr>
          </w:p>
        </w:tc>
        <w:tc>
          <w:tcPr>
            <w:tcW w:w="1050" w:type="dxa"/>
            <w:gridSpan w:val="2"/>
          </w:tcPr>
          <w:p w14:paraId="1AE90DC1" w14:textId="77777777" w:rsidR="00185E07" w:rsidRPr="005E76D2" w:rsidRDefault="00185E07" w:rsidP="00185E07">
            <w:pPr>
              <w:pStyle w:val="Table"/>
              <w:jc w:val="center"/>
            </w:pPr>
          </w:p>
        </w:tc>
        <w:tc>
          <w:tcPr>
            <w:tcW w:w="1226" w:type="dxa"/>
            <w:gridSpan w:val="2"/>
          </w:tcPr>
          <w:p w14:paraId="79C15896" w14:textId="77777777" w:rsidR="00185E07" w:rsidRPr="005E76D2" w:rsidRDefault="00185E07" w:rsidP="00185E07">
            <w:pPr>
              <w:pStyle w:val="Table"/>
              <w:jc w:val="center"/>
            </w:pPr>
          </w:p>
        </w:tc>
      </w:tr>
    </w:tbl>
    <w:p w14:paraId="04076AAA" w14:textId="77777777" w:rsidR="00106283" w:rsidRDefault="0010628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12173352" w14:textId="77777777" w:rsidTr="006418F9">
        <w:tc>
          <w:tcPr>
            <w:tcW w:w="1242" w:type="dxa"/>
            <w:shd w:val="clear" w:color="auto" w:fill="051C3C"/>
          </w:tcPr>
          <w:p w14:paraId="3E316185" w14:textId="159158C6" w:rsidR="000E6DE3" w:rsidRPr="006F61C9" w:rsidRDefault="000E6DE3" w:rsidP="00D11C6A">
            <w:pPr>
              <w:pStyle w:val="Table"/>
              <w:rPr>
                <w:b/>
              </w:rPr>
            </w:pPr>
            <w:r w:rsidRPr="006F61C9">
              <w:rPr>
                <w:b/>
              </w:rPr>
              <w:t>Tax Return Reference</w:t>
            </w:r>
          </w:p>
        </w:tc>
        <w:tc>
          <w:tcPr>
            <w:tcW w:w="5753" w:type="dxa"/>
            <w:gridSpan w:val="2"/>
            <w:shd w:val="clear" w:color="auto" w:fill="051C3C"/>
          </w:tcPr>
          <w:p w14:paraId="07771259"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7E078A70" w14:textId="77777777" w:rsidR="000E6DE3" w:rsidRPr="006F61C9" w:rsidRDefault="000E6DE3" w:rsidP="00D11C6A">
            <w:pPr>
              <w:pStyle w:val="Table"/>
              <w:jc w:val="center"/>
              <w:rPr>
                <w:b/>
              </w:rPr>
            </w:pPr>
            <w:r w:rsidRPr="006F61C9">
              <w:rPr>
                <w:b/>
              </w:rPr>
              <w:t>Column 1</w:t>
            </w:r>
          </w:p>
          <w:p w14:paraId="0256EE0A"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5BF6B924" w14:textId="77777777" w:rsidR="000E6DE3" w:rsidRPr="006F61C9" w:rsidRDefault="000E6DE3" w:rsidP="00D11C6A">
            <w:pPr>
              <w:pStyle w:val="Table"/>
              <w:jc w:val="center"/>
              <w:rPr>
                <w:b/>
              </w:rPr>
            </w:pPr>
            <w:r w:rsidRPr="006F61C9">
              <w:rPr>
                <w:b/>
              </w:rPr>
              <w:t>Column 2</w:t>
            </w:r>
          </w:p>
          <w:p w14:paraId="23298D2C" w14:textId="77777777" w:rsidR="000E6DE3" w:rsidRPr="006F61C9" w:rsidRDefault="000E6DE3" w:rsidP="00D11C6A">
            <w:pPr>
              <w:pStyle w:val="Table"/>
              <w:jc w:val="center"/>
              <w:rPr>
                <w:b/>
              </w:rPr>
            </w:pPr>
            <w:r w:rsidRPr="006F61C9">
              <w:rPr>
                <w:b/>
              </w:rPr>
              <w:t>WP</w:t>
            </w:r>
          </w:p>
          <w:p w14:paraId="0C199B77"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4D6DECD6" w14:textId="77777777" w:rsidR="000E6DE3" w:rsidRPr="006F61C9" w:rsidRDefault="000E6DE3" w:rsidP="00D11C6A">
            <w:pPr>
              <w:pStyle w:val="Table"/>
              <w:jc w:val="center"/>
              <w:rPr>
                <w:b/>
              </w:rPr>
            </w:pPr>
            <w:r w:rsidRPr="006F61C9">
              <w:rPr>
                <w:b/>
              </w:rPr>
              <w:t>Column 3</w:t>
            </w:r>
          </w:p>
          <w:p w14:paraId="0D23A7F6" w14:textId="77777777" w:rsidR="000E6DE3" w:rsidRPr="006F61C9" w:rsidRDefault="000E6DE3" w:rsidP="00D11C6A">
            <w:pPr>
              <w:pStyle w:val="Table"/>
              <w:jc w:val="center"/>
              <w:rPr>
                <w:b/>
              </w:rPr>
            </w:pPr>
            <w:r w:rsidRPr="006F61C9">
              <w:rPr>
                <w:b/>
              </w:rPr>
              <w:t>Attachment</w:t>
            </w:r>
          </w:p>
          <w:p w14:paraId="2BEF3028" w14:textId="77777777" w:rsidR="000E6DE3" w:rsidRPr="006F61C9" w:rsidRDefault="000E6DE3" w:rsidP="00D11C6A">
            <w:pPr>
              <w:pStyle w:val="Table"/>
              <w:jc w:val="center"/>
              <w:rPr>
                <w:b/>
              </w:rPr>
            </w:pPr>
            <w:r w:rsidRPr="006F61C9">
              <w:rPr>
                <w:b/>
              </w:rPr>
              <w:t>(Y or N)</w:t>
            </w:r>
          </w:p>
        </w:tc>
      </w:tr>
      <w:tr w:rsidR="00C57F56" w:rsidRPr="005E76D2" w14:paraId="09214731" w14:textId="77777777" w:rsidTr="00C57F56">
        <w:tc>
          <w:tcPr>
            <w:tcW w:w="10303" w:type="dxa"/>
            <w:gridSpan w:val="8"/>
            <w:shd w:val="clear" w:color="auto" w:fill="D9D9D9" w:themeFill="background1" w:themeFillShade="D9"/>
            <w:vAlign w:val="center"/>
          </w:tcPr>
          <w:p w14:paraId="1F187A87" w14:textId="387A9882" w:rsidR="00C57F56" w:rsidRPr="00AF24CF" w:rsidRDefault="00185E07" w:rsidP="00106283">
            <w:pPr>
              <w:pStyle w:val="Tableheading"/>
            </w:pPr>
            <w:r>
              <w:t>Deductions</w:t>
            </w:r>
            <w:r w:rsidR="00106283">
              <w:t xml:space="preserve"> </w:t>
            </w:r>
            <w:r w:rsidR="00106283" w:rsidRPr="00106283">
              <w:rPr>
                <w:b w:val="0"/>
              </w:rPr>
              <w:t>(continued)</w:t>
            </w:r>
          </w:p>
        </w:tc>
      </w:tr>
      <w:tr w:rsidR="00106283" w:rsidRPr="005E76D2" w14:paraId="302B8CF1" w14:textId="77777777" w:rsidTr="00F17C65">
        <w:tc>
          <w:tcPr>
            <w:tcW w:w="1242" w:type="dxa"/>
          </w:tcPr>
          <w:p w14:paraId="3FB7F09D" w14:textId="05B4B458" w:rsidR="00106283" w:rsidRPr="005E76D2" w:rsidRDefault="00106283" w:rsidP="004E591F">
            <w:pPr>
              <w:pStyle w:val="Table"/>
            </w:pPr>
            <w:r w:rsidRPr="005E76D2">
              <w:t>D10</w:t>
            </w:r>
          </w:p>
        </w:tc>
        <w:tc>
          <w:tcPr>
            <w:tcW w:w="5737" w:type="dxa"/>
          </w:tcPr>
          <w:p w14:paraId="007757DC" w14:textId="77777777" w:rsidR="00106283" w:rsidRDefault="00106283" w:rsidP="00106283">
            <w:pPr>
              <w:pStyle w:val="Table"/>
              <w:keepNext/>
              <w:rPr>
                <w:b/>
              </w:rPr>
            </w:pPr>
            <w:r w:rsidRPr="005E76D2">
              <w:rPr>
                <w:b/>
              </w:rPr>
              <w:t>Cost of managing tax affairs</w:t>
            </w:r>
          </w:p>
          <w:p w14:paraId="7D7235C3" w14:textId="77777777" w:rsidR="00106283" w:rsidRPr="00BB7910" w:rsidRDefault="00106283" w:rsidP="00106283">
            <w:pPr>
              <w:pStyle w:val="Table"/>
              <w:keepNext/>
            </w:pPr>
            <w:r w:rsidRPr="00BB7910">
              <w:t>Deductions</w:t>
            </w:r>
            <w:r>
              <w:t xml:space="preserve"> allowable include costs incurred for tax return preparation by a registered tax agent, obtaining tax advice from a recognised tax adviser, travel costs in obtaining tax agent services, purchasing tax return software, dealing with the ATO about the client’s tax affairs, and general interest charge (GIC) paid on late payment of taxes and penalties. A recognised tax adviser is a registered tax agent, barrister or solicitor.</w:t>
            </w:r>
            <w:r w:rsidRPr="00BB7910">
              <w:t xml:space="preserve"> </w:t>
            </w:r>
          </w:p>
          <w:p w14:paraId="0E9690F4" w14:textId="21856571" w:rsidR="00106283" w:rsidRPr="005E76D2" w:rsidRDefault="00106283" w:rsidP="004E591F">
            <w:pPr>
              <w:pStyle w:val="Table"/>
              <w:rPr>
                <w:b/>
              </w:rPr>
            </w:pPr>
            <w:r w:rsidRPr="00C108A5">
              <w:rPr>
                <w:b/>
                <w:sz w:val="14"/>
                <w:szCs w:val="14"/>
              </w:rPr>
              <w:t>Note</w:t>
            </w:r>
            <w:r w:rsidRPr="00C108A5">
              <w:rPr>
                <w:sz w:val="14"/>
                <w:szCs w:val="14"/>
              </w:rPr>
              <w:t xml:space="preserve">: </w:t>
            </w:r>
            <w:r>
              <w:rPr>
                <w:sz w:val="14"/>
                <w:szCs w:val="14"/>
              </w:rPr>
              <w:t>any amount incurred for income tax advice provided by a person who is not a recognised tax adviser is not deductible.</w:t>
            </w:r>
          </w:p>
        </w:tc>
        <w:tc>
          <w:tcPr>
            <w:tcW w:w="1048" w:type="dxa"/>
            <w:gridSpan w:val="2"/>
          </w:tcPr>
          <w:p w14:paraId="414392EB" w14:textId="77777777" w:rsidR="00106283" w:rsidRPr="005E76D2" w:rsidRDefault="00106283" w:rsidP="004E591F">
            <w:pPr>
              <w:pStyle w:val="Table"/>
              <w:jc w:val="center"/>
            </w:pPr>
          </w:p>
        </w:tc>
        <w:tc>
          <w:tcPr>
            <w:tcW w:w="1050" w:type="dxa"/>
            <w:gridSpan w:val="2"/>
          </w:tcPr>
          <w:p w14:paraId="586816A3" w14:textId="77777777" w:rsidR="00106283" w:rsidRPr="005E76D2" w:rsidRDefault="00106283" w:rsidP="004E591F">
            <w:pPr>
              <w:pStyle w:val="Table"/>
              <w:jc w:val="center"/>
            </w:pPr>
          </w:p>
        </w:tc>
        <w:tc>
          <w:tcPr>
            <w:tcW w:w="1226" w:type="dxa"/>
            <w:gridSpan w:val="2"/>
          </w:tcPr>
          <w:p w14:paraId="2C39602E" w14:textId="77777777" w:rsidR="00106283" w:rsidRPr="005E76D2" w:rsidRDefault="00106283" w:rsidP="004E591F">
            <w:pPr>
              <w:pStyle w:val="Table"/>
              <w:jc w:val="center"/>
            </w:pPr>
          </w:p>
        </w:tc>
      </w:tr>
      <w:tr w:rsidR="00106283" w:rsidRPr="00AF24CF" w14:paraId="7CDA7A45" w14:textId="77777777" w:rsidTr="00106283">
        <w:tc>
          <w:tcPr>
            <w:tcW w:w="10303" w:type="dxa"/>
            <w:gridSpan w:val="8"/>
            <w:shd w:val="clear" w:color="auto" w:fill="D9D9D9" w:themeFill="background1" w:themeFillShade="D9"/>
            <w:vAlign w:val="center"/>
          </w:tcPr>
          <w:p w14:paraId="22CF1161" w14:textId="77777777" w:rsidR="00106283" w:rsidRPr="00AF24CF" w:rsidRDefault="00106283" w:rsidP="00106283">
            <w:pPr>
              <w:pStyle w:val="Tableheading"/>
            </w:pPr>
            <w:r>
              <w:t>Supplement Deductions</w:t>
            </w:r>
          </w:p>
        </w:tc>
      </w:tr>
      <w:tr w:rsidR="00106283" w:rsidRPr="005E76D2" w14:paraId="2C0CB636" w14:textId="77777777" w:rsidTr="00F17C65">
        <w:tc>
          <w:tcPr>
            <w:tcW w:w="1242" w:type="dxa"/>
          </w:tcPr>
          <w:p w14:paraId="6F7EC3CD" w14:textId="21CB5DEC" w:rsidR="00106283" w:rsidRDefault="00106283" w:rsidP="004E591F">
            <w:pPr>
              <w:pStyle w:val="Table"/>
            </w:pPr>
            <w:r w:rsidRPr="005E76D2">
              <w:t>D11</w:t>
            </w:r>
          </w:p>
        </w:tc>
        <w:tc>
          <w:tcPr>
            <w:tcW w:w="5737" w:type="dxa"/>
          </w:tcPr>
          <w:p w14:paraId="6D2A7DD7" w14:textId="70094012" w:rsidR="00106283" w:rsidRPr="009A796B" w:rsidRDefault="00106283" w:rsidP="004E591F">
            <w:pPr>
              <w:pStyle w:val="Table"/>
              <w:rPr>
                <w:b/>
              </w:rPr>
            </w:pPr>
            <w:r w:rsidRPr="005E76D2">
              <w:rPr>
                <w:b/>
              </w:rPr>
              <w:t xml:space="preserve">Deductible amount of </w:t>
            </w:r>
            <w:proofErr w:type="spellStart"/>
            <w:r w:rsidRPr="005E76D2">
              <w:rPr>
                <w:b/>
              </w:rPr>
              <w:t>undeducted</w:t>
            </w:r>
            <w:proofErr w:type="spellEnd"/>
            <w:r w:rsidRPr="005E76D2">
              <w:rPr>
                <w:b/>
              </w:rPr>
              <w:t xml:space="preserve"> purchase price of a foreign pension or annuity</w:t>
            </w:r>
          </w:p>
        </w:tc>
        <w:tc>
          <w:tcPr>
            <w:tcW w:w="1048" w:type="dxa"/>
            <w:gridSpan w:val="2"/>
          </w:tcPr>
          <w:p w14:paraId="122A9061" w14:textId="77777777" w:rsidR="00106283" w:rsidRPr="005E76D2" w:rsidRDefault="00106283" w:rsidP="004E591F">
            <w:pPr>
              <w:pStyle w:val="Table"/>
              <w:jc w:val="center"/>
            </w:pPr>
          </w:p>
        </w:tc>
        <w:tc>
          <w:tcPr>
            <w:tcW w:w="1050" w:type="dxa"/>
            <w:gridSpan w:val="2"/>
          </w:tcPr>
          <w:p w14:paraId="05F182AD" w14:textId="77777777" w:rsidR="00106283" w:rsidRPr="005E76D2" w:rsidRDefault="00106283" w:rsidP="004E591F">
            <w:pPr>
              <w:pStyle w:val="Table"/>
              <w:jc w:val="center"/>
            </w:pPr>
          </w:p>
        </w:tc>
        <w:tc>
          <w:tcPr>
            <w:tcW w:w="1226" w:type="dxa"/>
            <w:gridSpan w:val="2"/>
          </w:tcPr>
          <w:p w14:paraId="1D2EEB7C" w14:textId="77777777" w:rsidR="00106283" w:rsidRPr="005E76D2" w:rsidRDefault="00106283" w:rsidP="004E591F">
            <w:pPr>
              <w:pStyle w:val="Table"/>
              <w:jc w:val="center"/>
            </w:pPr>
          </w:p>
        </w:tc>
      </w:tr>
      <w:tr w:rsidR="00106283" w:rsidRPr="005E76D2" w14:paraId="3BED7413" w14:textId="77777777" w:rsidTr="00F17C65">
        <w:tc>
          <w:tcPr>
            <w:tcW w:w="1242" w:type="dxa"/>
          </w:tcPr>
          <w:p w14:paraId="5CB4D47A" w14:textId="77777777" w:rsidR="00106283" w:rsidRPr="005E76D2" w:rsidRDefault="00106283" w:rsidP="004E591F">
            <w:pPr>
              <w:pStyle w:val="Table"/>
            </w:pPr>
            <w:r>
              <w:t>D12</w:t>
            </w:r>
          </w:p>
        </w:tc>
        <w:tc>
          <w:tcPr>
            <w:tcW w:w="5737" w:type="dxa"/>
          </w:tcPr>
          <w:p w14:paraId="20483692" w14:textId="18B8E9F2" w:rsidR="00106283" w:rsidRPr="009A796B" w:rsidRDefault="00106283" w:rsidP="004E591F">
            <w:pPr>
              <w:pStyle w:val="Table"/>
              <w:rPr>
                <w:b/>
              </w:rPr>
            </w:pPr>
            <w:r w:rsidRPr="009A796B">
              <w:rPr>
                <w:b/>
              </w:rPr>
              <w:t>Personal superannuation contributions</w:t>
            </w:r>
          </w:p>
          <w:p w14:paraId="26D820A7" w14:textId="462C1D5E" w:rsidR="00106283" w:rsidRDefault="00106283" w:rsidP="004E591F">
            <w:pPr>
              <w:pStyle w:val="Table"/>
            </w:pPr>
            <w:r w:rsidRPr="009A796B">
              <w:t xml:space="preserve">Strict rules </w:t>
            </w:r>
            <w:r>
              <w:t>currently limit when an individual can claim a deduction for personal superannuation contributions to a complying superannuation fund or retirement savings account (RSA).</w:t>
            </w:r>
            <w:r w:rsidRPr="009A796B">
              <w:t xml:space="preserve"> </w:t>
            </w:r>
            <w:r>
              <w:t>A</w:t>
            </w:r>
            <w:r w:rsidRPr="009A796B">
              <w:t xml:space="preserve"> self-employed </w:t>
            </w:r>
            <w:r>
              <w:t xml:space="preserve">or substantially self-employed </w:t>
            </w:r>
            <w:r w:rsidRPr="009A796B">
              <w:t xml:space="preserve">taxpayer may be able to claim all their contributions to a complying superannuation fund as fully tax deductible up to age 75, provided no more than 10% of their assessable income, reportable fringe benefits and </w:t>
            </w:r>
            <w:r w:rsidRPr="009A796B">
              <w:rPr>
                <w:rStyle w:val="resizable-content"/>
              </w:rPr>
              <w:t xml:space="preserve">reportable employer superannuation contributions </w:t>
            </w:r>
            <w:r w:rsidRPr="009A796B">
              <w:t>is attributable to their employment as an employee.</w:t>
            </w:r>
          </w:p>
          <w:p w14:paraId="176BDAB0" w14:textId="5462DD4D" w:rsidR="00106283" w:rsidRPr="009A796B" w:rsidRDefault="00106283" w:rsidP="004E591F">
            <w:pPr>
              <w:pStyle w:val="Table"/>
            </w:pPr>
            <w:r w:rsidRPr="00C108A5">
              <w:rPr>
                <w:b/>
                <w:sz w:val="14"/>
                <w:szCs w:val="14"/>
              </w:rPr>
              <w:t>Note</w:t>
            </w:r>
            <w:r w:rsidRPr="00C108A5">
              <w:rPr>
                <w:sz w:val="14"/>
                <w:szCs w:val="14"/>
              </w:rPr>
              <w:t xml:space="preserve">: </w:t>
            </w:r>
            <w:r>
              <w:rPr>
                <w:sz w:val="14"/>
                <w:szCs w:val="14"/>
              </w:rPr>
              <w:t xml:space="preserve">any person making a personal superannuation contribution must give their fund or RSA a valid notice of an intention to claim a deduction for any contribution which needs to be acknowledged by the fund or the RSA. In practice, this should occur before the </w:t>
            </w:r>
            <w:proofErr w:type="spellStart"/>
            <w:r>
              <w:rPr>
                <w:sz w:val="14"/>
                <w:szCs w:val="14"/>
              </w:rPr>
              <w:t>lodgment</w:t>
            </w:r>
            <w:proofErr w:type="spellEnd"/>
            <w:r>
              <w:rPr>
                <w:sz w:val="14"/>
                <w:szCs w:val="14"/>
              </w:rPr>
              <w:t xml:space="preserve"> of the client’s 2017 return.   </w:t>
            </w:r>
          </w:p>
          <w:p w14:paraId="08F3A9A8" w14:textId="228076BA" w:rsidR="00106283" w:rsidRDefault="00106283" w:rsidP="004E591F">
            <w:pPr>
              <w:spacing w:before="60" w:after="60"/>
              <w:rPr>
                <w:b/>
                <w:sz w:val="14"/>
                <w:szCs w:val="14"/>
              </w:rPr>
            </w:pPr>
            <w:bookmarkStart w:id="1" w:name="top"/>
            <w:bookmarkEnd w:id="1"/>
            <w:r w:rsidRPr="00C108A5">
              <w:rPr>
                <w:b/>
                <w:sz w:val="14"/>
                <w:szCs w:val="14"/>
              </w:rPr>
              <w:t>Note</w:t>
            </w:r>
            <w:r w:rsidRPr="00C108A5">
              <w:rPr>
                <w:sz w:val="14"/>
                <w:szCs w:val="14"/>
              </w:rPr>
              <w:t>: care should be exercised to avoid breaching the annual superannuation concessional contributions cap for the individual</w:t>
            </w:r>
            <w:r>
              <w:rPr>
                <w:sz w:val="14"/>
                <w:szCs w:val="14"/>
              </w:rPr>
              <w:t xml:space="preserve">. For the 2017 year this cap is </w:t>
            </w:r>
            <w:r w:rsidRPr="00C108A5">
              <w:rPr>
                <w:sz w:val="14"/>
                <w:szCs w:val="14"/>
              </w:rPr>
              <w:t>$</w:t>
            </w:r>
            <w:r>
              <w:rPr>
                <w:sz w:val="14"/>
                <w:szCs w:val="14"/>
              </w:rPr>
              <w:t>35</w:t>
            </w:r>
            <w:r w:rsidRPr="00C108A5">
              <w:rPr>
                <w:sz w:val="14"/>
                <w:szCs w:val="14"/>
              </w:rPr>
              <w:t xml:space="preserve">,000 for each individual </w:t>
            </w:r>
            <w:r>
              <w:rPr>
                <w:sz w:val="14"/>
                <w:szCs w:val="14"/>
              </w:rPr>
              <w:t xml:space="preserve">aged 49 years or over at 30 June 2016 and $30,000 for individuals under that age. Any contributions exceeding these caps are included in the taxpayer’s assessable income and taxed at the taxpayer’s marginal tax rate but subject to a non-refundable tax offset of 15% of the excess concessional contributions. From 1 July 2017 all persons will be potentially eligible to claim a deduction for personal superannuation contributions up to the amount of the concessional contributions cap for the 2018 year which will be reduced to $25,000 regardless of age.    </w:t>
            </w:r>
          </w:p>
          <w:p w14:paraId="0D62483F" w14:textId="77777777" w:rsidR="00106283" w:rsidRPr="00C108A5" w:rsidRDefault="00106283" w:rsidP="004E591F">
            <w:pPr>
              <w:spacing w:before="60" w:after="60"/>
              <w:rPr>
                <w:sz w:val="14"/>
                <w:szCs w:val="14"/>
              </w:rPr>
            </w:pPr>
            <w:r w:rsidRPr="008E1AB9">
              <w:rPr>
                <w:b/>
                <w:sz w:val="14"/>
                <w:szCs w:val="14"/>
              </w:rPr>
              <w:t>Note:</w:t>
            </w:r>
            <w:r>
              <w:rPr>
                <w:sz w:val="14"/>
                <w:szCs w:val="14"/>
              </w:rPr>
              <w:t xml:space="preserve"> i</w:t>
            </w:r>
            <w:r w:rsidRPr="008F1953">
              <w:rPr>
                <w:sz w:val="14"/>
                <w:szCs w:val="14"/>
              </w:rPr>
              <w:t>ndividuals have the option of withdrawing superannuation contributions in excess of the non-concessional contributions cap made from 1 July 2013 and any associated earnings, with these earnings are taxed at the individual’s marginal tax rate.</w:t>
            </w:r>
          </w:p>
          <w:p w14:paraId="0E7A5E20" w14:textId="3B9507E4" w:rsidR="00106283" w:rsidRPr="005E76D2" w:rsidRDefault="00106283" w:rsidP="004E591F">
            <w:pPr>
              <w:pStyle w:val="Table"/>
              <w:rPr>
                <w:b/>
              </w:rPr>
            </w:pPr>
            <w:r w:rsidRPr="00C108A5">
              <w:rPr>
                <w:b/>
                <w:sz w:val="14"/>
                <w:szCs w:val="14"/>
              </w:rPr>
              <w:t>Note:</w:t>
            </w:r>
            <w:r w:rsidRPr="00C108A5">
              <w:rPr>
                <w:sz w:val="14"/>
                <w:szCs w:val="14"/>
              </w:rPr>
              <w:t xml:space="preserve"> </w:t>
            </w:r>
            <w:r w:rsidRPr="00C108A5">
              <w:rPr>
                <w:rFonts w:eastAsia="Times New Roman" w:cs="Arial"/>
                <w:sz w:val="14"/>
                <w:szCs w:val="14"/>
              </w:rPr>
              <w:t xml:space="preserve">the effective tax rate for individuals earning more than $300,000 </w:t>
            </w:r>
            <w:r>
              <w:rPr>
                <w:rFonts w:eastAsia="Times New Roman" w:cs="Arial"/>
                <w:sz w:val="14"/>
                <w:szCs w:val="14"/>
              </w:rPr>
              <w:t xml:space="preserve">is 30% being the standard 15% that applies to the making of superannuation contributions and an extra 15% imposed under Division 293 of the </w:t>
            </w:r>
            <w:r w:rsidRPr="00BB7910">
              <w:rPr>
                <w:rFonts w:eastAsia="Times New Roman" w:cs="Arial"/>
                <w:i/>
                <w:sz w:val="14"/>
                <w:szCs w:val="14"/>
              </w:rPr>
              <w:t xml:space="preserve">Income Tax Assessment Act (1997) </w:t>
            </w:r>
            <w:r w:rsidRPr="00C108A5">
              <w:rPr>
                <w:rFonts w:eastAsia="Times New Roman" w:cs="Arial"/>
                <w:sz w:val="14"/>
                <w:szCs w:val="14"/>
              </w:rPr>
              <w:t>(excluding Medicare Levy). The extra 15% tax becomes payable on the amount (if any) which exceeds the individual’s combined income for Medicare Levy surcharge purposes (ignoring</w:t>
            </w:r>
            <w:r w:rsidRPr="00C108A5">
              <w:rPr>
                <w:rFonts w:eastAsia="Times New Roman" w:cs="Arial"/>
                <w:sz w:val="14"/>
                <w:szCs w:val="14"/>
                <w:lang w:val="en-US"/>
              </w:rPr>
              <w:t xml:space="preserve"> reportable superannuation contributions) and eligible concessional contributions wh</w:t>
            </w:r>
            <w:r>
              <w:rPr>
                <w:rFonts w:eastAsia="Times New Roman" w:cs="Arial"/>
                <w:sz w:val="14"/>
                <w:szCs w:val="14"/>
                <w:lang w:val="en-US"/>
              </w:rPr>
              <w:t>ere that total balance is more than</w:t>
            </w:r>
            <w:r w:rsidRPr="00C108A5">
              <w:rPr>
                <w:rFonts w:eastAsia="Times New Roman" w:cs="Arial"/>
                <w:sz w:val="14"/>
                <w:szCs w:val="14"/>
              </w:rPr>
              <w:t xml:space="preserve"> $300,000.</w:t>
            </w:r>
            <w:r>
              <w:rPr>
                <w:rFonts w:eastAsia="Times New Roman" w:cs="Arial"/>
                <w:sz w:val="14"/>
                <w:szCs w:val="14"/>
              </w:rPr>
              <w:t xml:space="preserve"> From 1 July 2017 the existing threshold of $300,000 will be reduced to $250,000. </w:t>
            </w:r>
          </w:p>
        </w:tc>
        <w:tc>
          <w:tcPr>
            <w:tcW w:w="1048" w:type="dxa"/>
            <w:gridSpan w:val="2"/>
          </w:tcPr>
          <w:p w14:paraId="07799ECF" w14:textId="77777777" w:rsidR="00106283" w:rsidRPr="005E76D2" w:rsidRDefault="00106283" w:rsidP="004E591F">
            <w:pPr>
              <w:pStyle w:val="Table"/>
              <w:jc w:val="center"/>
            </w:pPr>
          </w:p>
        </w:tc>
        <w:tc>
          <w:tcPr>
            <w:tcW w:w="1050" w:type="dxa"/>
            <w:gridSpan w:val="2"/>
          </w:tcPr>
          <w:p w14:paraId="5FCE32FB" w14:textId="77777777" w:rsidR="00106283" w:rsidRPr="005E76D2" w:rsidRDefault="00106283" w:rsidP="004E591F">
            <w:pPr>
              <w:pStyle w:val="Table"/>
              <w:jc w:val="center"/>
            </w:pPr>
          </w:p>
        </w:tc>
        <w:tc>
          <w:tcPr>
            <w:tcW w:w="1226" w:type="dxa"/>
            <w:gridSpan w:val="2"/>
          </w:tcPr>
          <w:p w14:paraId="0486A17A" w14:textId="77777777" w:rsidR="00106283" w:rsidRPr="005E76D2" w:rsidRDefault="00106283" w:rsidP="004E591F">
            <w:pPr>
              <w:pStyle w:val="Table"/>
              <w:jc w:val="center"/>
            </w:pPr>
          </w:p>
        </w:tc>
      </w:tr>
      <w:tr w:rsidR="00106283" w:rsidRPr="005E76D2" w14:paraId="25D67BFD" w14:textId="77777777" w:rsidTr="00F17C65">
        <w:tc>
          <w:tcPr>
            <w:tcW w:w="1242" w:type="dxa"/>
          </w:tcPr>
          <w:p w14:paraId="1F8AE3EE" w14:textId="77777777" w:rsidR="00106283" w:rsidRPr="005E76D2" w:rsidRDefault="00106283" w:rsidP="004E591F">
            <w:pPr>
              <w:pStyle w:val="Table"/>
            </w:pPr>
            <w:r w:rsidRPr="005E76D2">
              <w:t>D13</w:t>
            </w:r>
          </w:p>
        </w:tc>
        <w:tc>
          <w:tcPr>
            <w:tcW w:w="5737" w:type="dxa"/>
          </w:tcPr>
          <w:p w14:paraId="2E56F1EF" w14:textId="77777777" w:rsidR="00106283" w:rsidRPr="005E76D2" w:rsidRDefault="00106283" w:rsidP="004E591F">
            <w:pPr>
              <w:pStyle w:val="Table"/>
              <w:rPr>
                <w:b/>
              </w:rPr>
            </w:pPr>
            <w:r w:rsidRPr="005E76D2">
              <w:rPr>
                <w:b/>
              </w:rPr>
              <w:t>Deduction for project pool</w:t>
            </w:r>
          </w:p>
          <w:p w14:paraId="588C3ACF" w14:textId="1EA5210C" w:rsidR="00106283" w:rsidRPr="005E76D2" w:rsidRDefault="00106283" w:rsidP="004E591F">
            <w:pPr>
              <w:pStyle w:val="Table"/>
              <w:rPr>
                <w:b/>
              </w:rPr>
            </w:pPr>
            <w:r w:rsidRPr="005E76D2">
              <w:t>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or form part of the cost of a depreciating asset).</w:t>
            </w:r>
          </w:p>
        </w:tc>
        <w:tc>
          <w:tcPr>
            <w:tcW w:w="1048" w:type="dxa"/>
            <w:gridSpan w:val="2"/>
          </w:tcPr>
          <w:p w14:paraId="16B90100" w14:textId="77777777" w:rsidR="00106283" w:rsidRPr="005E76D2" w:rsidRDefault="00106283" w:rsidP="004E591F">
            <w:pPr>
              <w:pStyle w:val="Table"/>
              <w:jc w:val="center"/>
            </w:pPr>
          </w:p>
        </w:tc>
        <w:tc>
          <w:tcPr>
            <w:tcW w:w="1050" w:type="dxa"/>
            <w:gridSpan w:val="2"/>
          </w:tcPr>
          <w:p w14:paraId="526822C2" w14:textId="77777777" w:rsidR="00106283" w:rsidRPr="005E76D2" w:rsidRDefault="00106283" w:rsidP="004E591F">
            <w:pPr>
              <w:pStyle w:val="Table"/>
              <w:jc w:val="center"/>
            </w:pPr>
          </w:p>
        </w:tc>
        <w:tc>
          <w:tcPr>
            <w:tcW w:w="1226" w:type="dxa"/>
            <w:gridSpan w:val="2"/>
          </w:tcPr>
          <w:p w14:paraId="000A4A71" w14:textId="77777777" w:rsidR="00106283" w:rsidRPr="005E76D2" w:rsidRDefault="00106283" w:rsidP="004E591F">
            <w:pPr>
              <w:pStyle w:val="Table"/>
              <w:jc w:val="center"/>
            </w:pPr>
          </w:p>
        </w:tc>
      </w:tr>
      <w:tr w:rsidR="00106283" w:rsidRPr="005E76D2" w14:paraId="4D174C7C" w14:textId="77777777" w:rsidTr="00F17C65">
        <w:tc>
          <w:tcPr>
            <w:tcW w:w="1242" w:type="dxa"/>
          </w:tcPr>
          <w:p w14:paraId="305F4F76" w14:textId="77777777" w:rsidR="00106283" w:rsidRPr="005E76D2" w:rsidRDefault="00106283" w:rsidP="004E591F">
            <w:pPr>
              <w:pStyle w:val="Table"/>
            </w:pPr>
            <w:r w:rsidRPr="005E76D2">
              <w:t>D14</w:t>
            </w:r>
          </w:p>
        </w:tc>
        <w:tc>
          <w:tcPr>
            <w:tcW w:w="5737" w:type="dxa"/>
          </w:tcPr>
          <w:p w14:paraId="53782BF8" w14:textId="354F0295" w:rsidR="00106283" w:rsidRPr="005E76D2" w:rsidRDefault="00106283" w:rsidP="004E591F">
            <w:pPr>
              <w:pStyle w:val="Table"/>
              <w:rPr>
                <w:b/>
              </w:rPr>
            </w:pPr>
            <w:r w:rsidRPr="005E76D2">
              <w:rPr>
                <w:b/>
              </w:rPr>
              <w:t xml:space="preserve">Forestry managed investment scheme </w:t>
            </w:r>
            <w:r>
              <w:rPr>
                <w:b/>
              </w:rPr>
              <w:t xml:space="preserve">(FMIS) </w:t>
            </w:r>
            <w:r w:rsidRPr="005E76D2">
              <w:rPr>
                <w:b/>
              </w:rPr>
              <w:t>deduction</w:t>
            </w:r>
          </w:p>
          <w:p w14:paraId="5F741B2D" w14:textId="51B5ADE7" w:rsidR="00106283" w:rsidRDefault="00106283" w:rsidP="004E591F">
            <w:pPr>
              <w:pStyle w:val="Table"/>
            </w:pPr>
            <w:r>
              <w:t>Check with the client whether they are entitled to a deduction for an investment in a FMIS. Separate rules apply to initial and subsequent participants in qualifying schemes.</w:t>
            </w:r>
          </w:p>
          <w:p w14:paraId="429831F3" w14:textId="5E29AEA4" w:rsidR="00106283" w:rsidRPr="005E76D2" w:rsidRDefault="00106283" w:rsidP="0031122F">
            <w:pPr>
              <w:pStyle w:val="Table"/>
            </w:pPr>
            <w:r w:rsidRPr="006F1C5C">
              <w:rPr>
                <w:b/>
                <w:sz w:val="14"/>
                <w:szCs w:val="14"/>
              </w:rPr>
              <w:t>Note</w:t>
            </w:r>
            <w:r w:rsidRPr="006F1C5C">
              <w:rPr>
                <w:sz w:val="14"/>
                <w:szCs w:val="14"/>
              </w:rPr>
              <w:t>: further details on the FMIS rules are summarised</w:t>
            </w:r>
            <w:r>
              <w:rPr>
                <w:sz w:val="14"/>
                <w:szCs w:val="14"/>
              </w:rPr>
              <w:t xml:space="preserve"> on the </w:t>
            </w:r>
            <w:hyperlink r:id="rId18" w:history="1">
              <w:r w:rsidRPr="0031122F">
                <w:rPr>
                  <w:rStyle w:val="Hyperlink"/>
                  <w:sz w:val="14"/>
                  <w:szCs w:val="14"/>
                </w:rPr>
                <w:t>ATO website</w:t>
              </w:r>
            </w:hyperlink>
            <w:r>
              <w:rPr>
                <w:sz w:val="14"/>
                <w:szCs w:val="14"/>
              </w:rPr>
              <w:t>.</w:t>
            </w:r>
          </w:p>
        </w:tc>
        <w:tc>
          <w:tcPr>
            <w:tcW w:w="1048" w:type="dxa"/>
            <w:gridSpan w:val="2"/>
          </w:tcPr>
          <w:p w14:paraId="63C1038D" w14:textId="77777777" w:rsidR="00106283" w:rsidRPr="005E76D2" w:rsidRDefault="00106283" w:rsidP="004E591F">
            <w:pPr>
              <w:pStyle w:val="Table"/>
              <w:jc w:val="center"/>
            </w:pPr>
          </w:p>
        </w:tc>
        <w:tc>
          <w:tcPr>
            <w:tcW w:w="1050" w:type="dxa"/>
            <w:gridSpan w:val="2"/>
          </w:tcPr>
          <w:p w14:paraId="7EB234FA" w14:textId="77777777" w:rsidR="00106283" w:rsidRPr="005E76D2" w:rsidRDefault="00106283" w:rsidP="004E591F">
            <w:pPr>
              <w:pStyle w:val="Table"/>
              <w:jc w:val="center"/>
            </w:pPr>
          </w:p>
        </w:tc>
        <w:tc>
          <w:tcPr>
            <w:tcW w:w="1226" w:type="dxa"/>
            <w:gridSpan w:val="2"/>
          </w:tcPr>
          <w:p w14:paraId="15A74539" w14:textId="77777777" w:rsidR="00106283" w:rsidRPr="005E76D2" w:rsidRDefault="00106283" w:rsidP="004E591F">
            <w:pPr>
              <w:pStyle w:val="Table"/>
              <w:jc w:val="center"/>
            </w:pPr>
          </w:p>
        </w:tc>
      </w:tr>
    </w:tbl>
    <w:p w14:paraId="56849F3A" w14:textId="77777777" w:rsidR="002C1EAE" w:rsidRDefault="002C1EAE">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0E6DE3" w:rsidRPr="006F61C9" w14:paraId="6B01732D" w14:textId="77777777" w:rsidTr="00065325">
        <w:tc>
          <w:tcPr>
            <w:tcW w:w="1242" w:type="dxa"/>
            <w:shd w:val="clear" w:color="auto" w:fill="051C3C"/>
          </w:tcPr>
          <w:p w14:paraId="55CE225F" w14:textId="3C7102C9" w:rsidR="000E6DE3" w:rsidRPr="006F61C9" w:rsidRDefault="00A2336D" w:rsidP="00D11C6A">
            <w:pPr>
              <w:pStyle w:val="Table"/>
              <w:rPr>
                <w:b/>
              </w:rPr>
            </w:pPr>
            <w:r>
              <w:br w:type="page"/>
            </w:r>
            <w:r w:rsidR="000E6DE3" w:rsidRPr="006F61C9">
              <w:rPr>
                <w:b/>
              </w:rPr>
              <w:t>Tax Return Reference</w:t>
            </w:r>
          </w:p>
        </w:tc>
        <w:tc>
          <w:tcPr>
            <w:tcW w:w="5753" w:type="dxa"/>
            <w:gridSpan w:val="2"/>
            <w:shd w:val="clear" w:color="auto" w:fill="051C3C"/>
          </w:tcPr>
          <w:p w14:paraId="60097AD7" w14:textId="77777777" w:rsidR="000E6DE3" w:rsidRPr="006F61C9" w:rsidRDefault="000E6DE3" w:rsidP="00D11C6A">
            <w:pPr>
              <w:pStyle w:val="Table"/>
              <w:rPr>
                <w:b/>
              </w:rPr>
            </w:pPr>
            <w:r w:rsidRPr="006F61C9">
              <w:rPr>
                <w:b/>
              </w:rPr>
              <w:t>Section of the Income Tax Return</w:t>
            </w:r>
          </w:p>
        </w:tc>
        <w:tc>
          <w:tcPr>
            <w:tcW w:w="1051" w:type="dxa"/>
            <w:gridSpan w:val="2"/>
            <w:shd w:val="clear" w:color="auto" w:fill="051C3C"/>
          </w:tcPr>
          <w:p w14:paraId="66BA6C42" w14:textId="77777777" w:rsidR="000E6DE3" w:rsidRPr="006F61C9" w:rsidRDefault="000E6DE3" w:rsidP="00D11C6A">
            <w:pPr>
              <w:pStyle w:val="Table"/>
              <w:jc w:val="center"/>
              <w:rPr>
                <w:b/>
              </w:rPr>
            </w:pPr>
            <w:r w:rsidRPr="006F61C9">
              <w:rPr>
                <w:b/>
              </w:rPr>
              <w:t>Column 1</w:t>
            </w:r>
          </w:p>
          <w:p w14:paraId="18D81E3C" w14:textId="77777777" w:rsidR="000E6DE3" w:rsidRPr="006F61C9" w:rsidRDefault="000E6DE3" w:rsidP="00D11C6A">
            <w:pPr>
              <w:pStyle w:val="Table"/>
              <w:jc w:val="center"/>
              <w:rPr>
                <w:b/>
              </w:rPr>
            </w:pPr>
            <w:r w:rsidRPr="006F61C9">
              <w:rPr>
                <w:b/>
              </w:rPr>
              <w:t>(A) (S) (N/A)</w:t>
            </w:r>
          </w:p>
        </w:tc>
        <w:tc>
          <w:tcPr>
            <w:tcW w:w="1049" w:type="dxa"/>
            <w:gridSpan w:val="2"/>
            <w:shd w:val="clear" w:color="auto" w:fill="051C3C"/>
          </w:tcPr>
          <w:p w14:paraId="360C99BF" w14:textId="77777777" w:rsidR="000E6DE3" w:rsidRPr="006F61C9" w:rsidRDefault="000E6DE3" w:rsidP="00D11C6A">
            <w:pPr>
              <w:pStyle w:val="Table"/>
              <w:jc w:val="center"/>
              <w:rPr>
                <w:b/>
              </w:rPr>
            </w:pPr>
            <w:r w:rsidRPr="006F61C9">
              <w:rPr>
                <w:b/>
              </w:rPr>
              <w:t>Column 2</w:t>
            </w:r>
          </w:p>
          <w:p w14:paraId="1C7305D6" w14:textId="77777777" w:rsidR="000E6DE3" w:rsidRPr="006F61C9" w:rsidRDefault="000E6DE3" w:rsidP="00D11C6A">
            <w:pPr>
              <w:pStyle w:val="Table"/>
              <w:jc w:val="center"/>
              <w:rPr>
                <w:b/>
              </w:rPr>
            </w:pPr>
            <w:r w:rsidRPr="006F61C9">
              <w:rPr>
                <w:b/>
              </w:rPr>
              <w:t>WP</w:t>
            </w:r>
          </w:p>
          <w:p w14:paraId="03B3A73B" w14:textId="77777777" w:rsidR="000E6DE3" w:rsidRPr="006F61C9" w:rsidRDefault="000E6DE3" w:rsidP="00D11C6A">
            <w:pPr>
              <w:pStyle w:val="Table"/>
              <w:jc w:val="center"/>
              <w:rPr>
                <w:b/>
              </w:rPr>
            </w:pPr>
            <w:r w:rsidRPr="006F61C9">
              <w:rPr>
                <w:b/>
              </w:rPr>
              <w:t>(Y or N)</w:t>
            </w:r>
          </w:p>
        </w:tc>
        <w:tc>
          <w:tcPr>
            <w:tcW w:w="1208" w:type="dxa"/>
            <w:shd w:val="clear" w:color="auto" w:fill="051C3C"/>
          </w:tcPr>
          <w:p w14:paraId="1E2336A9" w14:textId="77777777" w:rsidR="000E6DE3" w:rsidRPr="006F61C9" w:rsidRDefault="000E6DE3" w:rsidP="00D11C6A">
            <w:pPr>
              <w:pStyle w:val="Table"/>
              <w:jc w:val="center"/>
              <w:rPr>
                <w:b/>
              </w:rPr>
            </w:pPr>
            <w:r w:rsidRPr="006F61C9">
              <w:rPr>
                <w:b/>
              </w:rPr>
              <w:t>Column 3</w:t>
            </w:r>
          </w:p>
          <w:p w14:paraId="47F4BC06" w14:textId="77777777" w:rsidR="000E6DE3" w:rsidRPr="006F61C9" w:rsidRDefault="000E6DE3" w:rsidP="00D11C6A">
            <w:pPr>
              <w:pStyle w:val="Table"/>
              <w:jc w:val="center"/>
              <w:rPr>
                <w:b/>
              </w:rPr>
            </w:pPr>
            <w:r w:rsidRPr="006F61C9">
              <w:rPr>
                <w:b/>
              </w:rPr>
              <w:t>Attachment</w:t>
            </w:r>
          </w:p>
          <w:p w14:paraId="12DE08BA" w14:textId="77777777" w:rsidR="000E6DE3" w:rsidRPr="006F61C9" w:rsidRDefault="000E6DE3" w:rsidP="00D11C6A">
            <w:pPr>
              <w:pStyle w:val="Table"/>
              <w:jc w:val="center"/>
              <w:rPr>
                <w:b/>
              </w:rPr>
            </w:pPr>
            <w:r w:rsidRPr="006F61C9">
              <w:rPr>
                <w:b/>
              </w:rPr>
              <w:t>(Y or N)</w:t>
            </w:r>
          </w:p>
        </w:tc>
      </w:tr>
      <w:tr w:rsidR="007A1117" w:rsidRPr="00AF24CF" w14:paraId="40E896DA" w14:textId="77777777" w:rsidTr="007A1117">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31AC7A9D" w14:textId="1DD3339E" w:rsidR="007A1117" w:rsidRPr="00AF24CF" w:rsidRDefault="00106283" w:rsidP="007A1117">
            <w:pPr>
              <w:pStyle w:val="Tableheading"/>
            </w:pPr>
            <w:r>
              <w:t>Supplement Deductions</w:t>
            </w:r>
            <w:r w:rsidR="007B7A16">
              <w:t xml:space="preserve"> </w:t>
            </w:r>
            <w:r w:rsidR="007B7A16" w:rsidRPr="007B7A16">
              <w:rPr>
                <w:b w:val="0"/>
              </w:rPr>
              <w:t>(continued)</w:t>
            </w:r>
          </w:p>
        </w:tc>
      </w:tr>
      <w:tr w:rsidR="00106283" w:rsidRPr="005E76D2" w14:paraId="67BFDD90" w14:textId="77777777" w:rsidTr="00F17C65">
        <w:tc>
          <w:tcPr>
            <w:tcW w:w="1242" w:type="dxa"/>
          </w:tcPr>
          <w:p w14:paraId="0A57B8DB" w14:textId="106B249B" w:rsidR="00106283" w:rsidRPr="005E76D2" w:rsidRDefault="00106283" w:rsidP="001226F9">
            <w:pPr>
              <w:pStyle w:val="Table"/>
            </w:pPr>
            <w:r w:rsidRPr="005E76D2">
              <w:t>D15</w:t>
            </w:r>
          </w:p>
        </w:tc>
        <w:tc>
          <w:tcPr>
            <w:tcW w:w="5737" w:type="dxa"/>
          </w:tcPr>
          <w:p w14:paraId="79680F31" w14:textId="77777777" w:rsidR="00106283" w:rsidRPr="005E76D2" w:rsidRDefault="00106283" w:rsidP="00106283">
            <w:pPr>
              <w:pStyle w:val="Table"/>
              <w:rPr>
                <w:b/>
              </w:rPr>
            </w:pPr>
            <w:r w:rsidRPr="005E76D2">
              <w:rPr>
                <w:b/>
              </w:rPr>
              <w:t>Other deductions</w:t>
            </w:r>
          </w:p>
          <w:p w14:paraId="625B5504" w14:textId="281BD68B" w:rsidR="00106283" w:rsidRPr="00BA4783" w:rsidRDefault="00106283" w:rsidP="00B1094B">
            <w:pPr>
              <w:pStyle w:val="Table"/>
              <w:rPr>
                <w:b/>
              </w:rPr>
            </w:pPr>
            <w:r>
              <w:t>Other deductions not claimable elsewhere in the tax return. For example:</w:t>
            </w:r>
            <w:r w:rsidRPr="005E76D2">
              <w:t xml:space="preserve"> black</w:t>
            </w:r>
            <w:r>
              <w:t>-</w:t>
            </w:r>
            <w:r w:rsidRPr="005E76D2">
              <w:t>hole expenditure</w:t>
            </w:r>
            <w:r>
              <w:t xml:space="preserve"> and</w:t>
            </w:r>
            <w:r w:rsidRPr="005E76D2">
              <w:t xml:space="preserve"> </w:t>
            </w:r>
            <w:r>
              <w:t xml:space="preserve">income protection, </w:t>
            </w:r>
            <w:r w:rsidRPr="005E76D2">
              <w:t>accident and sickness insurance premiums.</w:t>
            </w:r>
          </w:p>
        </w:tc>
        <w:tc>
          <w:tcPr>
            <w:tcW w:w="1048" w:type="dxa"/>
            <w:gridSpan w:val="2"/>
          </w:tcPr>
          <w:p w14:paraId="64D961C7" w14:textId="77777777" w:rsidR="00106283" w:rsidRPr="005E76D2" w:rsidRDefault="00106283" w:rsidP="00FC1E35">
            <w:pPr>
              <w:pStyle w:val="Table"/>
              <w:jc w:val="center"/>
            </w:pPr>
          </w:p>
        </w:tc>
        <w:tc>
          <w:tcPr>
            <w:tcW w:w="1050" w:type="dxa"/>
            <w:gridSpan w:val="2"/>
          </w:tcPr>
          <w:p w14:paraId="0288FBA5" w14:textId="77777777" w:rsidR="00106283" w:rsidRPr="005E76D2" w:rsidRDefault="00106283" w:rsidP="00FC1E35">
            <w:pPr>
              <w:pStyle w:val="Table"/>
              <w:jc w:val="center"/>
            </w:pPr>
          </w:p>
        </w:tc>
        <w:tc>
          <w:tcPr>
            <w:tcW w:w="1226" w:type="dxa"/>
            <w:gridSpan w:val="2"/>
          </w:tcPr>
          <w:p w14:paraId="5C2A8F14" w14:textId="77777777" w:rsidR="00106283" w:rsidRPr="005E76D2" w:rsidRDefault="00106283" w:rsidP="00FC1E35">
            <w:pPr>
              <w:pStyle w:val="Table"/>
              <w:jc w:val="center"/>
            </w:pPr>
          </w:p>
        </w:tc>
      </w:tr>
      <w:tr w:rsidR="00106283" w:rsidRPr="00AF24CF" w14:paraId="3E7F1503"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24968BD4" w14:textId="77777777" w:rsidR="00106283" w:rsidRPr="00AF24CF" w:rsidRDefault="00106283" w:rsidP="00106283">
            <w:pPr>
              <w:pStyle w:val="Tableheading"/>
            </w:pPr>
            <w:r>
              <w:t xml:space="preserve">Supplement </w:t>
            </w:r>
            <w:r w:rsidRPr="00042197">
              <w:t xml:space="preserve">Losses </w:t>
            </w:r>
          </w:p>
        </w:tc>
      </w:tr>
      <w:tr w:rsidR="00106283" w:rsidRPr="005E76D2" w14:paraId="094D14E9" w14:textId="77777777" w:rsidTr="00F17C65">
        <w:tc>
          <w:tcPr>
            <w:tcW w:w="1242" w:type="dxa"/>
          </w:tcPr>
          <w:p w14:paraId="6538A253" w14:textId="1B02DC12" w:rsidR="00106283" w:rsidRPr="005E76D2" w:rsidRDefault="00106283" w:rsidP="001226F9">
            <w:pPr>
              <w:pStyle w:val="Table"/>
            </w:pPr>
            <w:r w:rsidRPr="005E76D2">
              <w:t>L1</w:t>
            </w:r>
          </w:p>
        </w:tc>
        <w:tc>
          <w:tcPr>
            <w:tcW w:w="5737" w:type="dxa"/>
          </w:tcPr>
          <w:p w14:paraId="57C15649" w14:textId="77777777" w:rsidR="00106283" w:rsidRPr="005E76D2" w:rsidRDefault="00106283" w:rsidP="00106283">
            <w:pPr>
              <w:pStyle w:val="Table"/>
              <w:rPr>
                <w:b/>
              </w:rPr>
            </w:pPr>
            <w:r w:rsidRPr="005E76D2">
              <w:rPr>
                <w:b/>
              </w:rPr>
              <w:t>Tax losses of earlier income years</w:t>
            </w:r>
          </w:p>
          <w:p w14:paraId="2F180DC1" w14:textId="77777777" w:rsidR="00106283" w:rsidRPr="00C108A5" w:rsidRDefault="00106283" w:rsidP="00106283">
            <w:pPr>
              <w:pStyle w:val="Table"/>
              <w:rPr>
                <w:sz w:val="14"/>
                <w:szCs w:val="14"/>
              </w:rPr>
            </w:pPr>
            <w:r>
              <w:rPr>
                <w:b/>
                <w:sz w:val="14"/>
                <w:szCs w:val="14"/>
              </w:rPr>
              <w:t>Note</w:t>
            </w:r>
            <w:r w:rsidRPr="00C108A5">
              <w:rPr>
                <w:b/>
                <w:sz w:val="14"/>
                <w:szCs w:val="14"/>
              </w:rPr>
              <w:t>:</w:t>
            </w:r>
            <w:r w:rsidRPr="00C108A5">
              <w:rPr>
                <w:sz w:val="14"/>
                <w:szCs w:val="14"/>
              </w:rPr>
              <w:t xml:space="preserve"> a superannuation deduction cannot increase a carry forward loss.</w:t>
            </w:r>
          </w:p>
          <w:p w14:paraId="48B838AC" w14:textId="48D479C8" w:rsidR="00106283" w:rsidRPr="00BA4783" w:rsidRDefault="00106283" w:rsidP="00B1094B">
            <w:pPr>
              <w:pStyle w:val="Table"/>
              <w:rPr>
                <w:b/>
              </w:rPr>
            </w:pPr>
            <w:r w:rsidRPr="00C108A5">
              <w:rPr>
                <w:sz w:val="14"/>
                <w:szCs w:val="14"/>
              </w:rPr>
              <w:t>Ensure that there is a split between primary and non-primary production losses, where applicable.</w:t>
            </w:r>
          </w:p>
        </w:tc>
        <w:tc>
          <w:tcPr>
            <w:tcW w:w="1048" w:type="dxa"/>
            <w:gridSpan w:val="2"/>
          </w:tcPr>
          <w:p w14:paraId="5E62F540" w14:textId="77777777" w:rsidR="00106283" w:rsidRPr="005E76D2" w:rsidRDefault="00106283" w:rsidP="00FC1E35">
            <w:pPr>
              <w:pStyle w:val="Table"/>
              <w:jc w:val="center"/>
            </w:pPr>
          </w:p>
        </w:tc>
        <w:tc>
          <w:tcPr>
            <w:tcW w:w="1050" w:type="dxa"/>
            <w:gridSpan w:val="2"/>
          </w:tcPr>
          <w:p w14:paraId="15677F21" w14:textId="77777777" w:rsidR="00106283" w:rsidRPr="005E76D2" w:rsidRDefault="00106283" w:rsidP="00FC1E35">
            <w:pPr>
              <w:pStyle w:val="Table"/>
              <w:jc w:val="center"/>
            </w:pPr>
          </w:p>
        </w:tc>
        <w:tc>
          <w:tcPr>
            <w:tcW w:w="1226" w:type="dxa"/>
            <w:gridSpan w:val="2"/>
          </w:tcPr>
          <w:p w14:paraId="3E84D786" w14:textId="77777777" w:rsidR="00106283" w:rsidRPr="005E76D2" w:rsidRDefault="00106283" w:rsidP="00FC1E35">
            <w:pPr>
              <w:pStyle w:val="Table"/>
              <w:jc w:val="center"/>
            </w:pPr>
          </w:p>
        </w:tc>
      </w:tr>
      <w:tr w:rsidR="00106283" w:rsidRPr="00AF24CF" w14:paraId="75738BEE" w14:textId="77777777" w:rsidTr="00106283">
        <w:tblPrEx>
          <w:tblBorders>
            <w:insideH w:val="none" w:sz="0" w:space="0" w:color="auto"/>
            <w:insideV w:val="none" w:sz="0" w:space="0" w:color="auto"/>
          </w:tblBorders>
          <w:tblLook w:val="00A0" w:firstRow="1" w:lastRow="0" w:firstColumn="1" w:lastColumn="0" w:noHBand="0" w:noVBand="0"/>
        </w:tblPrEx>
        <w:tc>
          <w:tcPr>
            <w:tcW w:w="10303" w:type="dxa"/>
            <w:gridSpan w:val="8"/>
            <w:tcBorders>
              <w:top w:val="single" w:sz="4" w:space="0" w:color="939598"/>
              <w:bottom w:val="single" w:sz="4" w:space="0" w:color="939598"/>
            </w:tcBorders>
            <w:shd w:val="clear" w:color="auto" w:fill="D9D9D9" w:themeFill="background1" w:themeFillShade="D9"/>
            <w:vAlign w:val="center"/>
          </w:tcPr>
          <w:p w14:paraId="6FE9BFE4" w14:textId="77777777" w:rsidR="00106283" w:rsidRPr="00AF24CF" w:rsidRDefault="00106283" w:rsidP="00106283">
            <w:pPr>
              <w:pStyle w:val="Tableheading"/>
            </w:pPr>
            <w:r w:rsidRPr="00042197">
              <w:t xml:space="preserve">Supplement Tax Offsets </w:t>
            </w:r>
          </w:p>
        </w:tc>
      </w:tr>
      <w:tr w:rsidR="00106283" w:rsidRPr="005E76D2" w14:paraId="6D3F3A82" w14:textId="77777777" w:rsidTr="00F17C65">
        <w:tc>
          <w:tcPr>
            <w:tcW w:w="1242" w:type="dxa"/>
          </w:tcPr>
          <w:p w14:paraId="1154CD65" w14:textId="406295D1" w:rsidR="00106283" w:rsidRPr="009A796B" w:rsidRDefault="00106283" w:rsidP="001226F9">
            <w:pPr>
              <w:pStyle w:val="Table"/>
            </w:pPr>
            <w:r w:rsidRPr="005E76D2">
              <w:t>T</w:t>
            </w:r>
            <w:r>
              <w:t>1</w:t>
            </w:r>
          </w:p>
        </w:tc>
        <w:tc>
          <w:tcPr>
            <w:tcW w:w="5737" w:type="dxa"/>
          </w:tcPr>
          <w:p w14:paraId="211A3949" w14:textId="77777777" w:rsidR="00106283" w:rsidRPr="00BA4783" w:rsidRDefault="00106283" w:rsidP="00B1094B">
            <w:pPr>
              <w:pStyle w:val="Table"/>
              <w:rPr>
                <w:b/>
              </w:rPr>
            </w:pPr>
            <w:r w:rsidRPr="00BA4783">
              <w:rPr>
                <w:b/>
              </w:rPr>
              <w:t>Senior Australians and pensioners (includes self-funded retirees)</w:t>
            </w:r>
          </w:p>
          <w:p w14:paraId="7D585947" w14:textId="7CAF57FE" w:rsidR="00106283" w:rsidRPr="00BA4783" w:rsidRDefault="00106283" w:rsidP="00362E26">
            <w:pPr>
              <w:pStyle w:val="Table"/>
              <w:rPr>
                <w:b/>
              </w:rPr>
            </w:pPr>
            <w:r w:rsidRPr="00BA4783">
              <w:t xml:space="preserve">Ensure that the client meets the Australian Government pensions and similar payments and income </w:t>
            </w:r>
            <w:r>
              <w:t xml:space="preserve">eligibility </w:t>
            </w:r>
            <w:r w:rsidRPr="00BA4783">
              <w:t>conditions before utilising this offset</w:t>
            </w:r>
            <w:r>
              <w:t xml:space="preserve">. If the senior had a spouse you also need to determine if they are also eligible for the offset, and if so whether they were living together or apart.  </w:t>
            </w:r>
          </w:p>
        </w:tc>
        <w:tc>
          <w:tcPr>
            <w:tcW w:w="1048" w:type="dxa"/>
            <w:gridSpan w:val="2"/>
          </w:tcPr>
          <w:p w14:paraId="416604D6" w14:textId="77777777" w:rsidR="00106283" w:rsidRPr="005E76D2" w:rsidRDefault="00106283" w:rsidP="00FC1E35">
            <w:pPr>
              <w:pStyle w:val="Table"/>
              <w:jc w:val="center"/>
            </w:pPr>
          </w:p>
        </w:tc>
        <w:tc>
          <w:tcPr>
            <w:tcW w:w="1050" w:type="dxa"/>
            <w:gridSpan w:val="2"/>
          </w:tcPr>
          <w:p w14:paraId="01D44BF4" w14:textId="77777777" w:rsidR="00106283" w:rsidRPr="005E76D2" w:rsidRDefault="00106283" w:rsidP="00FC1E35">
            <w:pPr>
              <w:pStyle w:val="Table"/>
              <w:jc w:val="center"/>
            </w:pPr>
          </w:p>
        </w:tc>
        <w:tc>
          <w:tcPr>
            <w:tcW w:w="1226" w:type="dxa"/>
            <w:gridSpan w:val="2"/>
          </w:tcPr>
          <w:p w14:paraId="48728AAF" w14:textId="77777777" w:rsidR="00106283" w:rsidRPr="005E76D2" w:rsidRDefault="00106283" w:rsidP="00FC1E35">
            <w:pPr>
              <w:pStyle w:val="Table"/>
              <w:jc w:val="center"/>
            </w:pPr>
          </w:p>
        </w:tc>
      </w:tr>
      <w:tr w:rsidR="00106283" w:rsidRPr="005E76D2" w14:paraId="7B1ECF35" w14:textId="77777777" w:rsidTr="00F17C65">
        <w:tc>
          <w:tcPr>
            <w:tcW w:w="1242" w:type="dxa"/>
          </w:tcPr>
          <w:p w14:paraId="1D981AB3" w14:textId="58DFFB31" w:rsidR="00106283" w:rsidRPr="009A796B" w:rsidRDefault="00106283" w:rsidP="001226F9">
            <w:pPr>
              <w:pStyle w:val="Table"/>
            </w:pPr>
            <w:r w:rsidRPr="005E76D2">
              <w:t>T</w:t>
            </w:r>
            <w:r>
              <w:t>2</w:t>
            </w:r>
          </w:p>
        </w:tc>
        <w:tc>
          <w:tcPr>
            <w:tcW w:w="5737" w:type="dxa"/>
          </w:tcPr>
          <w:p w14:paraId="23B466B6" w14:textId="77777777" w:rsidR="00106283" w:rsidRPr="00BA4783" w:rsidRDefault="00106283" w:rsidP="00B1094B">
            <w:pPr>
              <w:pStyle w:val="Table"/>
              <w:rPr>
                <w:b/>
              </w:rPr>
            </w:pPr>
            <w:r w:rsidRPr="00BA4783">
              <w:rPr>
                <w:b/>
              </w:rPr>
              <w:t>Australian superannuation income stream</w:t>
            </w:r>
          </w:p>
          <w:p w14:paraId="6F451220" w14:textId="6AC1D9B9" w:rsidR="00106283" w:rsidRPr="00BA4783" w:rsidRDefault="00106283" w:rsidP="00362E26">
            <w:pPr>
              <w:pStyle w:val="Table"/>
              <w:rPr>
                <w:b/>
              </w:rPr>
            </w:pPr>
            <w:r w:rsidRPr="00BA4783">
              <w:t>A tax offset for an</w:t>
            </w:r>
            <w:r>
              <w:t>y</w:t>
            </w:r>
            <w:r w:rsidRPr="00BA4783">
              <w:t xml:space="preserve"> Australian superannuation income stream</w:t>
            </w:r>
            <w:r>
              <w:t xml:space="preserve"> included at Item 7 of the return</w:t>
            </w:r>
            <w:r w:rsidRPr="00BA4783">
              <w:t>. The offset is equal to 15% of the taxed element or 10% of the untaxed element of the income stream which should be shown on the taxpayer’s “PAYG payment summary – superannuation income stream”.</w:t>
            </w:r>
          </w:p>
        </w:tc>
        <w:tc>
          <w:tcPr>
            <w:tcW w:w="1048" w:type="dxa"/>
            <w:gridSpan w:val="2"/>
          </w:tcPr>
          <w:p w14:paraId="47D5524E" w14:textId="77777777" w:rsidR="00106283" w:rsidRPr="005E76D2" w:rsidRDefault="00106283" w:rsidP="00FC1E35">
            <w:pPr>
              <w:pStyle w:val="Table"/>
              <w:jc w:val="center"/>
            </w:pPr>
          </w:p>
        </w:tc>
        <w:tc>
          <w:tcPr>
            <w:tcW w:w="1050" w:type="dxa"/>
            <w:gridSpan w:val="2"/>
          </w:tcPr>
          <w:p w14:paraId="5DC35DC4" w14:textId="77777777" w:rsidR="00106283" w:rsidRPr="005E76D2" w:rsidRDefault="00106283" w:rsidP="00FC1E35">
            <w:pPr>
              <w:pStyle w:val="Table"/>
              <w:jc w:val="center"/>
            </w:pPr>
          </w:p>
        </w:tc>
        <w:tc>
          <w:tcPr>
            <w:tcW w:w="1226" w:type="dxa"/>
            <w:gridSpan w:val="2"/>
          </w:tcPr>
          <w:p w14:paraId="2AF10378" w14:textId="77777777" w:rsidR="00106283" w:rsidRPr="005E76D2" w:rsidRDefault="00106283" w:rsidP="00FC1E35">
            <w:pPr>
              <w:pStyle w:val="Table"/>
              <w:jc w:val="center"/>
            </w:pPr>
          </w:p>
        </w:tc>
      </w:tr>
      <w:tr w:rsidR="00106283" w:rsidRPr="005E76D2" w14:paraId="4F788AE9" w14:textId="77777777" w:rsidTr="00F17C65">
        <w:tc>
          <w:tcPr>
            <w:tcW w:w="1242" w:type="dxa"/>
          </w:tcPr>
          <w:p w14:paraId="35EFFD6A" w14:textId="77777777" w:rsidR="00106283" w:rsidRPr="009A796B" w:rsidRDefault="00106283" w:rsidP="001226F9">
            <w:pPr>
              <w:pStyle w:val="Table"/>
            </w:pPr>
            <w:r w:rsidRPr="009A796B">
              <w:t>T</w:t>
            </w:r>
            <w:r>
              <w:t>3</w:t>
            </w:r>
          </w:p>
        </w:tc>
        <w:tc>
          <w:tcPr>
            <w:tcW w:w="5737" w:type="dxa"/>
          </w:tcPr>
          <w:p w14:paraId="52D9ABA4" w14:textId="77777777" w:rsidR="00106283" w:rsidRPr="00BA4783" w:rsidRDefault="00106283" w:rsidP="00362E26">
            <w:pPr>
              <w:pStyle w:val="Table"/>
              <w:rPr>
                <w:b/>
              </w:rPr>
            </w:pPr>
            <w:r w:rsidRPr="00BA4783">
              <w:rPr>
                <w:b/>
              </w:rPr>
              <w:t>Superannuation contributions on behalf of your spouse</w:t>
            </w:r>
          </w:p>
          <w:p w14:paraId="039A8E25" w14:textId="5D8748CD" w:rsidR="00106283" w:rsidRPr="00BA4783" w:rsidRDefault="00106283" w:rsidP="00362E26">
            <w:pPr>
              <w:pStyle w:val="Table"/>
            </w:pPr>
            <w:r w:rsidRPr="00BA4783">
              <w:t xml:space="preserve">Client can claim </w:t>
            </w:r>
            <w:r>
              <w:t>an offset</w:t>
            </w:r>
            <w:r w:rsidRPr="00BA4783">
              <w:t xml:space="preserve"> </w:t>
            </w:r>
            <w:r>
              <w:t>for</w:t>
            </w:r>
            <w:r w:rsidRPr="00BA4783">
              <w:t xml:space="preserve"> superannuation contributions made on behalf of a </w:t>
            </w:r>
            <w:r>
              <w:t xml:space="preserve">resident </w:t>
            </w:r>
            <w:r w:rsidRPr="00BA4783">
              <w:t xml:space="preserve">spouse </w:t>
            </w:r>
            <w:r>
              <w:t xml:space="preserve">to a complying superannuation fund or retirement savings account </w:t>
            </w:r>
            <w:r w:rsidRPr="00BA4783">
              <w:t xml:space="preserve">where the aggregate amount of the spouse’s assessable income, reportable fringe benefits and reportable employer superannuation contributions </w:t>
            </w:r>
            <w:r>
              <w:t xml:space="preserve">is less than </w:t>
            </w:r>
            <w:r w:rsidRPr="00BA4783">
              <w:t>$13,800.</w:t>
            </w:r>
            <w:r>
              <w:t xml:space="preserve"> The client and the spouse cannot be living separately or apart.</w:t>
            </w:r>
          </w:p>
          <w:p w14:paraId="68099909" w14:textId="2A00C447" w:rsidR="00106283" w:rsidRDefault="00106283" w:rsidP="009734CE">
            <w:pPr>
              <w:pStyle w:val="Table"/>
              <w:rPr>
                <w:sz w:val="14"/>
                <w:szCs w:val="14"/>
              </w:rPr>
            </w:pPr>
            <w:r>
              <w:rPr>
                <w:b/>
                <w:sz w:val="14"/>
                <w:szCs w:val="14"/>
              </w:rPr>
              <w:t>Note</w:t>
            </w:r>
            <w:r w:rsidRPr="00C108A5">
              <w:rPr>
                <w:sz w:val="14"/>
                <w:szCs w:val="14"/>
              </w:rPr>
              <w:t xml:space="preserve">: </w:t>
            </w:r>
            <w:r>
              <w:rPr>
                <w:sz w:val="14"/>
                <w:szCs w:val="14"/>
              </w:rPr>
              <w:t xml:space="preserve">the offset is 18% of eligible contributions of up to $3000. Accordingly, </w:t>
            </w:r>
            <w:r w:rsidRPr="00C108A5">
              <w:rPr>
                <w:sz w:val="14"/>
                <w:szCs w:val="14"/>
              </w:rPr>
              <w:t>the maximum offset that can be claimed is $540</w:t>
            </w:r>
            <w:r>
              <w:rPr>
                <w:sz w:val="14"/>
                <w:szCs w:val="14"/>
              </w:rPr>
              <w:t xml:space="preserve"> which will be available where the spouse’s total income does not exceed $10,800, However, the offset is reduced by each dollar derived by the spouse which is in excess of $10,800, and therefore fully phases out where the spouse’s income is $13,800 or more.</w:t>
            </w:r>
          </w:p>
          <w:p w14:paraId="5B4BD391" w14:textId="7E30BBB6" w:rsidR="00106283" w:rsidRPr="00C108A5" w:rsidRDefault="00106283" w:rsidP="00D1479A">
            <w:pPr>
              <w:pStyle w:val="Table"/>
              <w:rPr>
                <w:b/>
                <w:sz w:val="14"/>
                <w:szCs w:val="14"/>
              </w:rPr>
            </w:pPr>
            <w:r w:rsidRPr="00916737">
              <w:rPr>
                <w:b/>
                <w:sz w:val="14"/>
                <w:szCs w:val="14"/>
              </w:rPr>
              <w:t>Note:</w:t>
            </w:r>
            <w:r w:rsidRPr="00916737">
              <w:rPr>
                <w:sz w:val="14"/>
                <w:szCs w:val="14"/>
              </w:rPr>
              <w:t xml:space="preserve"> </w:t>
            </w:r>
            <w:r>
              <w:rPr>
                <w:sz w:val="14"/>
                <w:szCs w:val="14"/>
              </w:rPr>
              <w:t xml:space="preserve">from 1 July 2017 the income threshold to access the offset will increase from $10,800 to $37,000 and the income threshold at which the offset will fully phase out will increase from $13,800 to $40,000.    </w:t>
            </w:r>
          </w:p>
        </w:tc>
        <w:tc>
          <w:tcPr>
            <w:tcW w:w="1048" w:type="dxa"/>
            <w:gridSpan w:val="2"/>
          </w:tcPr>
          <w:p w14:paraId="07004F60" w14:textId="77777777" w:rsidR="00106283" w:rsidRPr="005E76D2" w:rsidRDefault="00106283" w:rsidP="00FC1E35">
            <w:pPr>
              <w:pStyle w:val="Table"/>
              <w:jc w:val="center"/>
            </w:pPr>
          </w:p>
        </w:tc>
        <w:tc>
          <w:tcPr>
            <w:tcW w:w="1050" w:type="dxa"/>
            <w:gridSpan w:val="2"/>
          </w:tcPr>
          <w:p w14:paraId="31F1C65B" w14:textId="77777777" w:rsidR="00106283" w:rsidRPr="005E76D2" w:rsidRDefault="00106283" w:rsidP="00FC1E35">
            <w:pPr>
              <w:pStyle w:val="Table"/>
              <w:jc w:val="center"/>
            </w:pPr>
          </w:p>
        </w:tc>
        <w:tc>
          <w:tcPr>
            <w:tcW w:w="1226" w:type="dxa"/>
            <w:gridSpan w:val="2"/>
          </w:tcPr>
          <w:p w14:paraId="2353588B" w14:textId="77777777" w:rsidR="00106283" w:rsidRPr="005E76D2" w:rsidRDefault="00106283" w:rsidP="00FC1E35">
            <w:pPr>
              <w:pStyle w:val="Table"/>
              <w:jc w:val="center"/>
            </w:pPr>
          </w:p>
        </w:tc>
      </w:tr>
      <w:tr w:rsidR="00106283" w:rsidRPr="005E76D2" w14:paraId="4159C316" w14:textId="77777777" w:rsidTr="00F17C65">
        <w:tc>
          <w:tcPr>
            <w:tcW w:w="1242" w:type="dxa"/>
          </w:tcPr>
          <w:p w14:paraId="5E75F23F" w14:textId="77777777" w:rsidR="00106283" w:rsidRPr="009A796B" w:rsidRDefault="00106283" w:rsidP="001226F9">
            <w:pPr>
              <w:pStyle w:val="Table"/>
            </w:pPr>
            <w:r w:rsidRPr="005E76D2">
              <w:t>T</w:t>
            </w:r>
            <w:r>
              <w:t>4</w:t>
            </w:r>
          </w:p>
        </w:tc>
        <w:tc>
          <w:tcPr>
            <w:tcW w:w="5737" w:type="dxa"/>
          </w:tcPr>
          <w:p w14:paraId="6DDB4069" w14:textId="77777777" w:rsidR="00106283" w:rsidRPr="00BA4783" w:rsidRDefault="00106283" w:rsidP="00362E26">
            <w:pPr>
              <w:pStyle w:val="Table"/>
              <w:rPr>
                <w:b/>
              </w:rPr>
            </w:pPr>
            <w:r w:rsidRPr="00BA4783">
              <w:rPr>
                <w:b/>
              </w:rPr>
              <w:t>Zone or overseas forces</w:t>
            </w:r>
          </w:p>
          <w:p w14:paraId="75B562EA" w14:textId="0DC54883" w:rsidR="00106283" w:rsidRPr="00BA4783" w:rsidRDefault="00106283" w:rsidP="001226F9">
            <w:pPr>
              <w:pStyle w:val="Table"/>
            </w:pPr>
            <w:r w:rsidRPr="00BA4783">
              <w:t>If the client lived or worked in a remote or isolated area of Australia</w:t>
            </w:r>
            <w:r>
              <w:t xml:space="preserve"> classified as a Zone A or B area</w:t>
            </w:r>
            <w:r w:rsidRPr="00BA4783">
              <w:t>, or served overseas as a member of Australia’s Defence Forces, they may be eligible for this offset.</w:t>
            </w:r>
          </w:p>
          <w:p w14:paraId="0F430112" w14:textId="5A9E0E99" w:rsidR="00106283" w:rsidRPr="00D23939" w:rsidRDefault="00106283" w:rsidP="00D503AE">
            <w:pPr>
              <w:pStyle w:val="Table"/>
              <w:rPr>
                <w:b/>
                <w:sz w:val="14"/>
                <w:szCs w:val="14"/>
              </w:rPr>
            </w:pPr>
            <w:r w:rsidRPr="00D23939">
              <w:rPr>
                <w:b/>
                <w:sz w:val="14"/>
                <w:szCs w:val="14"/>
              </w:rPr>
              <w:t>Note:</w:t>
            </w:r>
            <w:r w:rsidRPr="00D23939">
              <w:rPr>
                <w:sz w:val="14"/>
                <w:szCs w:val="14"/>
              </w:rPr>
              <w:t xml:space="preserve"> eligibility for the zone offset </w:t>
            </w:r>
            <w:r>
              <w:rPr>
                <w:sz w:val="14"/>
                <w:szCs w:val="14"/>
              </w:rPr>
              <w:t>is</w:t>
            </w:r>
            <w:r w:rsidRPr="00D23939">
              <w:rPr>
                <w:sz w:val="14"/>
                <w:szCs w:val="14"/>
              </w:rPr>
              <w:t xml:space="preserve"> based on </w:t>
            </w:r>
            <w:r>
              <w:rPr>
                <w:sz w:val="14"/>
                <w:szCs w:val="14"/>
              </w:rPr>
              <w:t xml:space="preserve">the taxpayer’s </w:t>
            </w:r>
            <w:r w:rsidRPr="00D23939">
              <w:rPr>
                <w:sz w:val="14"/>
                <w:szCs w:val="14"/>
              </w:rPr>
              <w:t xml:space="preserve">usual place of residence. If your usual place of residence was not in a zone, you are not eligible for the zone tax offset such as would be the case for </w:t>
            </w:r>
            <w:r>
              <w:rPr>
                <w:sz w:val="14"/>
                <w:szCs w:val="14"/>
              </w:rPr>
              <w:t xml:space="preserve">certain </w:t>
            </w:r>
            <w:r w:rsidRPr="00D23939">
              <w:rPr>
                <w:sz w:val="14"/>
                <w:szCs w:val="14"/>
              </w:rPr>
              <w:t xml:space="preserve">fly-in-fly-out workers. </w:t>
            </w:r>
          </w:p>
        </w:tc>
        <w:tc>
          <w:tcPr>
            <w:tcW w:w="1048" w:type="dxa"/>
            <w:gridSpan w:val="2"/>
          </w:tcPr>
          <w:p w14:paraId="188CCC02" w14:textId="77777777" w:rsidR="00106283" w:rsidRPr="005E76D2" w:rsidRDefault="00106283" w:rsidP="00FC1E35">
            <w:pPr>
              <w:pStyle w:val="Table"/>
              <w:jc w:val="center"/>
            </w:pPr>
          </w:p>
        </w:tc>
        <w:tc>
          <w:tcPr>
            <w:tcW w:w="1050" w:type="dxa"/>
            <w:gridSpan w:val="2"/>
          </w:tcPr>
          <w:p w14:paraId="6C7B329A" w14:textId="77777777" w:rsidR="00106283" w:rsidRPr="005E76D2" w:rsidRDefault="00106283" w:rsidP="00FC1E35">
            <w:pPr>
              <w:pStyle w:val="Table"/>
              <w:jc w:val="center"/>
            </w:pPr>
          </w:p>
        </w:tc>
        <w:tc>
          <w:tcPr>
            <w:tcW w:w="1226" w:type="dxa"/>
            <w:gridSpan w:val="2"/>
          </w:tcPr>
          <w:p w14:paraId="4D5141E5" w14:textId="77777777" w:rsidR="00106283" w:rsidRPr="005E76D2" w:rsidRDefault="00106283" w:rsidP="00FC1E35">
            <w:pPr>
              <w:pStyle w:val="Table"/>
              <w:jc w:val="center"/>
            </w:pPr>
          </w:p>
        </w:tc>
      </w:tr>
    </w:tbl>
    <w:p w14:paraId="6C34D9FA" w14:textId="77777777" w:rsidR="00106283" w:rsidRDefault="00106283">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048"/>
        <w:gridCol w:w="1050"/>
        <w:gridCol w:w="1201"/>
        <w:gridCol w:w="25"/>
      </w:tblGrid>
      <w:tr w:rsidR="00106283" w:rsidRPr="006F61C9" w14:paraId="2078BCB8" w14:textId="77777777" w:rsidTr="00106283">
        <w:tc>
          <w:tcPr>
            <w:tcW w:w="1242" w:type="dxa"/>
            <w:tcBorders>
              <w:bottom w:val="single" w:sz="4" w:space="0" w:color="939598"/>
            </w:tcBorders>
            <w:shd w:val="clear" w:color="auto" w:fill="051C3C"/>
          </w:tcPr>
          <w:p w14:paraId="39AB6D0F" w14:textId="7D8180BD" w:rsidR="00106283" w:rsidRPr="006F61C9" w:rsidRDefault="00106283" w:rsidP="00106283">
            <w:pPr>
              <w:pStyle w:val="Table"/>
              <w:rPr>
                <w:b/>
              </w:rPr>
            </w:pPr>
            <w:r w:rsidRPr="006F61C9">
              <w:rPr>
                <w:b/>
              </w:rPr>
              <w:t>Tax Return Reference</w:t>
            </w:r>
          </w:p>
        </w:tc>
        <w:tc>
          <w:tcPr>
            <w:tcW w:w="5737" w:type="dxa"/>
            <w:tcBorders>
              <w:bottom w:val="single" w:sz="4" w:space="0" w:color="939598"/>
            </w:tcBorders>
            <w:shd w:val="clear" w:color="auto" w:fill="051C3C"/>
          </w:tcPr>
          <w:p w14:paraId="0083A57B" w14:textId="77777777" w:rsidR="00106283" w:rsidRPr="006F61C9" w:rsidRDefault="00106283" w:rsidP="00106283">
            <w:pPr>
              <w:pStyle w:val="Table"/>
              <w:rPr>
                <w:b/>
              </w:rPr>
            </w:pPr>
            <w:r w:rsidRPr="006F61C9">
              <w:rPr>
                <w:b/>
              </w:rPr>
              <w:t>Section of the Income Tax Return</w:t>
            </w:r>
          </w:p>
        </w:tc>
        <w:tc>
          <w:tcPr>
            <w:tcW w:w="1048" w:type="dxa"/>
            <w:tcBorders>
              <w:bottom w:val="single" w:sz="4" w:space="0" w:color="939598"/>
            </w:tcBorders>
            <w:shd w:val="clear" w:color="auto" w:fill="051C3C"/>
          </w:tcPr>
          <w:p w14:paraId="557008AB" w14:textId="77777777" w:rsidR="00106283" w:rsidRPr="006F61C9" w:rsidRDefault="00106283" w:rsidP="00106283">
            <w:pPr>
              <w:pStyle w:val="Table"/>
              <w:jc w:val="center"/>
              <w:rPr>
                <w:b/>
              </w:rPr>
            </w:pPr>
            <w:r w:rsidRPr="006F61C9">
              <w:rPr>
                <w:b/>
              </w:rPr>
              <w:t>Column 1</w:t>
            </w:r>
          </w:p>
          <w:p w14:paraId="46096FAC" w14:textId="77777777" w:rsidR="00106283" w:rsidRPr="006F61C9" w:rsidRDefault="00106283"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730DFFD5" w14:textId="77777777" w:rsidR="00106283" w:rsidRPr="006F61C9" w:rsidRDefault="00106283" w:rsidP="00106283">
            <w:pPr>
              <w:pStyle w:val="Table"/>
              <w:jc w:val="center"/>
              <w:rPr>
                <w:b/>
              </w:rPr>
            </w:pPr>
            <w:r w:rsidRPr="006F61C9">
              <w:rPr>
                <w:b/>
              </w:rPr>
              <w:t>Column 2</w:t>
            </w:r>
          </w:p>
          <w:p w14:paraId="7B1C9339" w14:textId="77777777" w:rsidR="00106283" w:rsidRPr="006F61C9" w:rsidRDefault="00106283" w:rsidP="00106283">
            <w:pPr>
              <w:pStyle w:val="Table"/>
              <w:jc w:val="center"/>
              <w:rPr>
                <w:b/>
              </w:rPr>
            </w:pPr>
            <w:r w:rsidRPr="006F61C9">
              <w:rPr>
                <w:b/>
              </w:rPr>
              <w:t>WP</w:t>
            </w:r>
          </w:p>
          <w:p w14:paraId="1248F3DC" w14:textId="77777777" w:rsidR="00106283" w:rsidRPr="006F61C9" w:rsidRDefault="00106283" w:rsidP="00106283">
            <w:pPr>
              <w:pStyle w:val="Table"/>
              <w:jc w:val="center"/>
              <w:rPr>
                <w:b/>
              </w:rPr>
            </w:pPr>
            <w:r w:rsidRPr="006F61C9">
              <w:rPr>
                <w:b/>
              </w:rPr>
              <w:t>(Y or N)</w:t>
            </w:r>
          </w:p>
        </w:tc>
        <w:tc>
          <w:tcPr>
            <w:tcW w:w="1226" w:type="dxa"/>
            <w:gridSpan w:val="2"/>
            <w:tcBorders>
              <w:bottom w:val="single" w:sz="4" w:space="0" w:color="939598"/>
            </w:tcBorders>
            <w:shd w:val="clear" w:color="auto" w:fill="051C3C"/>
          </w:tcPr>
          <w:p w14:paraId="13C00608" w14:textId="77777777" w:rsidR="00106283" w:rsidRPr="006F61C9" w:rsidRDefault="00106283" w:rsidP="00106283">
            <w:pPr>
              <w:pStyle w:val="Table"/>
              <w:jc w:val="center"/>
              <w:rPr>
                <w:b/>
              </w:rPr>
            </w:pPr>
            <w:r w:rsidRPr="006F61C9">
              <w:rPr>
                <w:b/>
              </w:rPr>
              <w:t>Column 3</w:t>
            </w:r>
          </w:p>
          <w:p w14:paraId="48B422D8" w14:textId="77777777" w:rsidR="00106283" w:rsidRPr="006F61C9" w:rsidRDefault="00106283" w:rsidP="00106283">
            <w:pPr>
              <w:pStyle w:val="Table"/>
              <w:jc w:val="center"/>
              <w:rPr>
                <w:b/>
              </w:rPr>
            </w:pPr>
            <w:r w:rsidRPr="006F61C9">
              <w:rPr>
                <w:b/>
              </w:rPr>
              <w:t>Attachment</w:t>
            </w:r>
          </w:p>
          <w:p w14:paraId="41A98C50" w14:textId="77777777" w:rsidR="00106283" w:rsidRPr="006F61C9" w:rsidRDefault="00106283" w:rsidP="00106283">
            <w:pPr>
              <w:pStyle w:val="Table"/>
              <w:jc w:val="center"/>
              <w:rPr>
                <w:b/>
              </w:rPr>
            </w:pPr>
            <w:r w:rsidRPr="006F61C9">
              <w:rPr>
                <w:b/>
              </w:rPr>
              <w:t>(Y or N)</w:t>
            </w:r>
          </w:p>
        </w:tc>
      </w:tr>
      <w:tr w:rsidR="00106283" w:rsidRPr="00BB7910" w14:paraId="3CBF3CAD" w14:textId="77777777" w:rsidTr="00106283">
        <w:tblPrEx>
          <w:tblBorders>
            <w:insideH w:val="none" w:sz="0" w:space="0" w:color="auto"/>
            <w:insideV w:val="none" w:sz="0" w:space="0" w:color="auto"/>
          </w:tblBorders>
          <w:tblLook w:val="00A0" w:firstRow="1" w:lastRow="0" w:firstColumn="1" w:lastColumn="0" w:noHBand="0" w:noVBand="0"/>
        </w:tblPrEx>
        <w:trPr>
          <w:gridAfter w:val="1"/>
          <w:wAfter w:w="25" w:type="dxa"/>
        </w:trPr>
        <w:tc>
          <w:tcPr>
            <w:tcW w:w="10278" w:type="dxa"/>
            <w:gridSpan w:val="5"/>
            <w:tcBorders>
              <w:top w:val="single" w:sz="4" w:space="0" w:color="939598"/>
              <w:bottom w:val="single" w:sz="4" w:space="0" w:color="939598"/>
            </w:tcBorders>
            <w:shd w:val="clear" w:color="auto" w:fill="D9D9D9" w:themeFill="background1" w:themeFillShade="D9"/>
            <w:vAlign w:val="center"/>
          </w:tcPr>
          <w:p w14:paraId="5C0EBEEC" w14:textId="59356442" w:rsidR="00106283" w:rsidRPr="00EC09CE" w:rsidRDefault="00106283" w:rsidP="00106283">
            <w:pPr>
              <w:pStyle w:val="Tableheading"/>
            </w:pPr>
            <w:r>
              <w:t>S</w:t>
            </w:r>
            <w:r w:rsidRPr="00042197">
              <w:t>upplement Tax Offsets</w:t>
            </w:r>
            <w:r>
              <w:t xml:space="preserve"> </w:t>
            </w:r>
            <w:r w:rsidRPr="00280E66">
              <w:rPr>
                <w:b w:val="0"/>
              </w:rPr>
              <w:t>(continued)</w:t>
            </w:r>
          </w:p>
        </w:tc>
      </w:tr>
      <w:tr w:rsidR="00106283" w:rsidRPr="005E76D2" w14:paraId="238F4F41" w14:textId="77777777" w:rsidTr="00F17C65">
        <w:tc>
          <w:tcPr>
            <w:tcW w:w="1242" w:type="dxa"/>
          </w:tcPr>
          <w:p w14:paraId="112D6F34" w14:textId="52E059C8" w:rsidR="00106283" w:rsidRPr="005E76D2" w:rsidRDefault="00106283" w:rsidP="00280E66">
            <w:pPr>
              <w:pStyle w:val="Table"/>
            </w:pPr>
            <w:r w:rsidRPr="009A796B">
              <w:t>T</w:t>
            </w:r>
            <w:r>
              <w:t>5</w:t>
            </w:r>
          </w:p>
        </w:tc>
        <w:tc>
          <w:tcPr>
            <w:tcW w:w="5737" w:type="dxa"/>
          </w:tcPr>
          <w:p w14:paraId="03E12A92" w14:textId="77777777" w:rsidR="00106283" w:rsidRPr="00A863E0" w:rsidRDefault="00106283" w:rsidP="00106283">
            <w:pPr>
              <w:pStyle w:val="Table"/>
              <w:rPr>
                <w:b/>
              </w:rPr>
            </w:pPr>
            <w:r w:rsidRPr="00A863E0">
              <w:rPr>
                <w:b/>
              </w:rPr>
              <w:t>Total net medical expenses for disability aids, attendant care or aged care</w:t>
            </w:r>
          </w:p>
          <w:p w14:paraId="702ADF81" w14:textId="77777777" w:rsidR="00106283" w:rsidRPr="00A863E0" w:rsidRDefault="00106283" w:rsidP="00106283">
            <w:pPr>
              <w:pStyle w:val="Table"/>
            </w:pPr>
            <w:r w:rsidRPr="00A863E0">
              <w:t>From 1 July 2015 claims under this offset are limited to net eligible expenses for disability aids, attendant care or aged care.</w:t>
            </w:r>
          </w:p>
          <w:p w14:paraId="37CD481B" w14:textId="77777777" w:rsidR="00106283" w:rsidRPr="00A863E0" w:rsidRDefault="00106283" w:rsidP="00106283">
            <w:pPr>
              <w:pStyle w:val="Table"/>
            </w:pPr>
            <w:r w:rsidRPr="00A863E0">
              <w:t xml:space="preserve">The gross cost of such expenses must be reduced by refunds the taxpayer received or is entitled to receive from Medicare or a private health </w:t>
            </w:r>
            <w:r>
              <w:t xml:space="preserve">insurance </w:t>
            </w:r>
            <w:r w:rsidRPr="00A863E0">
              <w:t>fund to determine the net medical expenses of an individual and / or certain dependants.</w:t>
            </w:r>
          </w:p>
          <w:p w14:paraId="59541165" w14:textId="77777777" w:rsidR="00106283" w:rsidRPr="00A863E0" w:rsidRDefault="00106283" w:rsidP="00106283">
            <w:pPr>
              <w:pStyle w:val="Table"/>
            </w:pPr>
            <w:r w:rsidRPr="00A863E0">
              <w:t>A 20% offset will be available where the total of all the net medical expenses of a taxpayer (and dependants) exceeds $2,2</w:t>
            </w:r>
            <w:r>
              <w:t>99</w:t>
            </w:r>
            <w:r w:rsidRPr="00A863E0">
              <w:t xml:space="preserve"> for individuals whose adjusted taxable income is equal to or less than $90,000 for singles or $180,000 for families for the 201</w:t>
            </w:r>
            <w:r>
              <w:t>7</w:t>
            </w:r>
            <w:r w:rsidRPr="00A863E0">
              <w:t xml:space="preserve"> year. For taxpayers with adjusted taxable income above $90,000 for singles, or $180,000 for families, a 10% offset will be available for net medical expenses of a taxpayer (and dependants) exceeding $5,4</w:t>
            </w:r>
            <w:r>
              <w:t>2</w:t>
            </w:r>
            <w:r w:rsidRPr="00A863E0">
              <w:t>3 for the 201</w:t>
            </w:r>
            <w:r>
              <w:t>7</w:t>
            </w:r>
            <w:r w:rsidRPr="00A863E0">
              <w:t xml:space="preserve"> year.</w:t>
            </w:r>
            <w:r>
              <w:t xml:space="preserve"> The family income threshold is increased by $1,500 for each dependent child after the first child. </w:t>
            </w:r>
          </w:p>
          <w:p w14:paraId="170FCD79" w14:textId="092C2484" w:rsidR="00106283" w:rsidRPr="00BA4783" w:rsidRDefault="00106283" w:rsidP="00280E66">
            <w:pPr>
              <w:pStyle w:val="Table"/>
              <w:rPr>
                <w:b/>
                <w:sz w:val="16"/>
                <w:szCs w:val="16"/>
              </w:rPr>
            </w:pPr>
            <w:r w:rsidRPr="00BA4783">
              <w:rPr>
                <w:rFonts w:cs="Arial"/>
                <w:b/>
                <w:sz w:val="14"/>
                <w:szCs w:val="14"/>
              </w:rPr>
              <w:t>Note:</w:t>
            </w:r>
            <w:r w:rsidRPr="00BA4783">
              <w:rPr>
                <w:rFonts w:cs="Arial"/>
                <w:sz w:val="14"/>
                <w:szCs w:val="14"/>
              </w:rPr>
              <w:t xml:space="preserve"> the tax offset is being phased-out and will be abolished from 1 July 2019.</w:t>
            </w:r>
          </w:p>
        </w:tc>
        <w:tc>
          <w:tcPr>
            <w:tcW w:w="1048" w:type="dxa"/>
          </w:tcPr>
          <w:p w14:paraId="544A5B8B" w14:textId="77777777" w:rsidR="00106283" w:rsidRPr="005E76D2" w:rsidRDefault="00106283" w:rsidP="00280E66">
            <w:pPr>
              <w:pStyle w:val="Table"/>
              <w:jc w:val="center"/>
            </w:pPr>
          </w:p>
        </w:tc>
        <w:tc>
          <w:tcPr>
            <w:tcW w:w="1050" w:type="dxa"/>
          </w:tcPr>
          <w:p w14:paraId="43A6D35D" w14:textId="77777777" w:rsidR="00106283" w:rsidRPr="005E76D2" w:rsidRDefault="00106283" w:rsidP="00280E66">
            <w:pPr>
              <w:pStyle w:val="Table"/>
              <w:jc w:val="center"/>
            </w:pPr>
          </w:p>
        </w:tc>
        <w:tc>
          <w:tcPr>
            <w:tcW w:w="1226" w:type="dxa"/>
            <w:gridSpan w:val="2"/>
          </w:tcPr>
          <w:p w14:paraId="720777E4" w14:textId="77777777" w:rsidR="00106283" w:rsidRPr="005E76D2" w:rsidRDefault="00106283" w:rsidP="00280E66">
            <w:pPr>
              <w:pStyle w:val="Table"/>
              <w:jc w:val="center"/>
            </w:pPr>
          </w:p>
        </w:tc>
      </w:tr>
      <w:tr w:rsidR="00106283" w:rsidRPr="005E76D2" w14:paraId="43E22847" w14:textId="77777777" w:rsidTr="00F17C65">
        <w:tc>
          <w:tcPr>
            <w:tcW w:w="1242" w:type="dxa"/>
          </w:tcPr>
          <w:p w14:paraId="33784FDE" w14:textId="5E60F61D" w:rsidR="00106283" w:rsidRPr="005E76D2" w:rsidRDefault="00106283" w:rsidP="00280E66">
            <w:pPr>
              <w:pStyle w:val="Table"/>
            </w:pPr>
            <w:r w:rsidRPr="005E76D2">
              <w:t>T</w:t>
            </w:r>
            <w:r>
              <w:t>6</w:t>
            </w:r>
          </w:p>
        </w:tc>
        <w:tc>
          <w:tcPr>
            <w:tcW w:w="5737" w:type="dxa"/>
          </w:tcPr>
          <w:p w14:paraId="48CEA222" w14:textId="77777777" w:rsidR="00106283" w:rsidRPr="00BA4783" w:rsidRDefault="00106283" w:rsidP="00106283">
            <w:pPr>
              <w:pStyle w:val="Table"/>
              <w:rPr>
                <w:b/>
                <w:sz w:val="16"/>
                <w:szCs w:val="16"/>
              </w:rPr>
            </w:pPr>
            <w:r w:rsidRPr="00BA4783">
              <w:rPr>
                <w:b/>
                <w:sz w:val="16"/>
                <w:szCs w:val="16"/>
              </w:rPr>
              <w:t>Invalid and invalid carer</w:t>
            </w:r>
          </w:p>
          <w:p w14:paraId="299CD144" w14:textId="3A2EC5E6" w:rsidR="00106283" w:rsidRPr="00BA4783" w:rsidRDefault="00106283" w:rsidP="00280E66">
            <w:pPr>
              <w:pStyle w:val="Table"/>
              <w:rPr>
                <w:b/>
                <w:sz w:val="16"/>
                <w:szCs w:val="16"/>
              </w:rPr>
            </w:pPr>
            <w:r w:rsidRPr="00BA4783">
              <w:rPr>
                <w:sz w:val="16"/>
                <w:szCs w:val="16"/>
              </w:rPr>
              <w:t>Tax offset is only available where the taxpayer maintains an invalid or an invalid carer who is an eligible dependant. In addition, access to the offset is income tested where the combined adjusted taxable income is more than $100,000 for the 201</w:t>
            </w:r>
            <w:r>
              <w:rPr>
                <w:sz w:val="16"/>
                <w:szCs w:val="16"/>
              </w:rPr>
              <w:t>7</w:t>
            </w:r>
            <w:r w:rsidRPr="00BA4783">
              <w:rPr>
                <w:sz w:val="16"/>
                <w:szCs w:val="16"/>
              </w:rPr>
              <w:t xml:space="preserve"> year.</w:t>
            </w:r>
          </w:p>
        </w:tc>
        <w:tc>
          <w:tcPr>
            <w:tcW w:w="1048" w:type="dxa"/>
          </w:tcPr>
          <w:p w14:paraId="0014DA79" w14:textId="77777777" w:rsidR="00106283" w:rsidRPr="005E76D2" w:rsidRDefault="00106283" w:rsidP="00280E66">
            <w:pPr>
              <w:pStyle w:val="Table"/>
              <w:jc w:val="center"/>
            </w:pPr>
          </w:p>
        </w:tc>
        <w:tc>
          <w:tcPr>
            <w:tcW w:w="1050" w:type="dxa"/>
          </w:tcPr>
          <w:p w14:paraId="3B0E1359" w14:textId="77777777" w:rsidR="00106283" w:rsidRPr="005E76D2" w:rsidRDefault="00106283" w:rsidP="00280E66">
            <w:pPr>
              <w:pStyle w:val="Table"/>
              <w:jc w:val="center"/>
            </w:pPr>
          </w:p>
        </w:tc>
        <w:tc>
          <w:tcPr>
            <w:tcW w:w="1226" w:type="dxa"/>
            <w:gridSpan w:val="2"/>
          </w:tcPr>
          <w:p w14:paraId="26090A70" w14:textId="77777777" w:rsidR="00106283" w:rsidRPr="005E76D2" w:rsidRDefault="00106283" w:rsidP="00280E66">
            <w:pPr>
              <w:pStyle w:val="Table"/>
              <w:jc w:val="center"/>
            </w:pPr>
          </w:p>
        </w:tc>
      </w:tr>
      <w:tr w:rsidR="00106283" w:rsidRPr="005E76D2" w14:paraId="0A063358" w14:textId="77777777" w:rsidTr="00F17C65">
        <w:tc>
          <w:tcPr>
            <w:tcW w:w="1242" w:type="dxa"/>
          </w:tcPr>
          <w:p w14:paraId="48DF28C1" w14:textId="7CC6BF47" w:rsidR="00106283" w:rsidRPr="005E76D2" w:rsidRDefault="00106283" w:rsidP="00280E66">
            <w:pPr>
              <w:pStyle w:val="Table"/>
            </w:pPr>
            <w:r w:rsidRPr="005E76D2">
              <w:t>T</w:t>
            </w:r>
            <w:r>
              <w:t>7</w:t>
            </w:r>
          </w:p>
        </w:tc>
        <w:tc>
          <w:tcPr>
            <w:tcW w:w="5737" w:type="dxa"/>
          </w:tcPr>
          <w:p w14:paraId="6FA500B3" w14:textId="77777777" w:rsidR="00106283" w:rsidRPr="00BA4783" w:rsidRDefault="00106283" w:rsidP="00280E66">
            <w:pPr>
              <w:pStyle w:val="Table"/>
              <w:rPr>
                <w:b/>
                <w:sz w:val="16"/>
                <w:szCs w:val="16"/>
              </w:rPr>
            </w:pPr>
            <w:r w:rsidRPr="00BA4783">
              <w:rPr>
                <w:b/>
                <w:sz w:val="16"/>
                <w:szCs w:val="16"/>
              </w:rPr>
              <w:t>Landcare and water facility rebate</w:t>
            </w:r>
          </w:p>
          <w:p w14:paraId="342B5047" w14:textId="2818C140" w:rsidR="00106283" w:rsidRPr="00BA4783" w:rsidRDefault="00106283" w:rsidP="00280E66">
            <w:pPr>
              <w:pStyle w:val="Table"/>
              <w:rPr>
                <w:b/>
                <w:sz w:val="16"/>
                <w:szCs w:val="16"/>
              </w:rPr>
            </w:pPr>
            <w:r w:rsidRPr="00BA4783">
              <w:rPr>
                <w:sz w:val="16"/>
                <w:szCs w:val="16"/>
              </w:rPr>
              <w:t>Tax offset for certain expenditure on land care works and water conserving facilities is available to certain primary producers and other taxpayers in limited circumstances</w:t>
            </w:r>
            <w:r>
              <w:rPr>
                <w:sz w:val="16"/>
                <w:szCs w:val="16"/>
              </w:rPr>
              <w:t>.</w:t>
            </w:r>
            <w:r w:rsidRPr="00BA4783">
              <w:rPr>
                <w:sz w:val="16"/>
                <w:szCs w:val="16"/>
              </w:rPr>
              <w:t xml:space="preserve"> </w:t>
            </w:r>
          </w:p>
        </w:tc>
        <w:tc>
          <w:tcPr>
            <w:tcW w:w="1048" w:type="dxa"/>
          </w:tcPr>
          <w:p w14:paraId="7CB3774D" w14:textId="77777777" w:rsidR="00106283" w:rsidRPr="005E76D2" w:rsidRDefault="00106283" w:rsidP="00280E66">
            <w:pPr>
              <w:pStyle w:val="Table"/>
              <w:jc w:val="center"/>
            </w:pPr>
          </w:p>
        </w:tc>
        <w:tc>
          <w:tcPr>
            <w:tcW w:w="1050" w:type="dxa"/>
          </w:tcPr>
          <w:p w14:paraId="0BF4B811" w14:textId="77777777" w:rsidR="00106283" w:rsidRPr="005E76D2" w:rsidRDefault="00106283" w:rsidP="00280E66">
            <w:pPr>
              <w:pStyle w:val="Table"/>
              <w:jc w:val="center"/>
            </w:pPr>
          </w:p>
        </w:tc>
        <w:tc>
          <w:tcPr>
            <w:tcW w:w="1226" w:type="dxa"/>
            <w:gridSpan w:val="2"/>
          </w:tcPr>
          <w:p w14:paraId="464617A7" w14:textId="77777777" w:rsidR="00106283" w:rsidRPr="005E76D2" w:rsidRDefault="00106283" w:rsidP="00280E66">
            <w:pPr>
              <w:pStyle w:val="Table"/>
              <w:jc w:val="center"/>
            </w:pPr>
          </w:p>
        </w:tc>
      </w:tr>
      <w:tr w:rsidR="00106283" w:rsidRPr="005E76D2" w14:paraId="0FFE9705" w14:textId="77777777" w:rsidTr="00F17C65">
        <w:tc>
          <w:tcPr>
            <w:tcW w:w="1242" w:type="dxa"/>
          </w:tcPr>
          <w:p w14:paraId="3B779A9A" w14:textId="2BEF4B4F" w:rsidR="00106283" w:rsidRDefault="00106283" w:rsidP="008D5DBA">
            <w:pPr>
              <w:pStyle w:val="Table"/>
            </w:pPr>
            <w:r w:rsidRPr="005E76D2">
              <w:t>T</w:t>
            </w:r>
            <w:r>
              <w:t>8</w:t>
            </w:r>
          </w:p>
        </w:tc>
        <w:tc>
          <w:tcPr>
            <w:tcW w:w="5737" w:type="dxa"/>
          </w:tcPr>
          <w:p w14:paraId="5A4FF32C" w14:textId="0A839F4B" w:rsidR="00106283" w:rsidRPr="00BA4783" w:rsidRDefault="00106283" w:rsidP="008D5DBA">
            <w:pPr>
              <w:pStyle w:val="Table"/>
              <w:rPr>
                <w:b/>
                <w:sz w:val="16"/>
                <w:szCs w:val="16"/>
              </w:rPr>
            </w:pPr>
            <w:r>
              <w:rPr>
                <w:b/>
                <w:sz w:val="16"/>
                <w:szCs w:val="16"/>
              </w:rPr>
              <w:t>Early stage venture capital limited partnership</w:t>
            </w:r>
          </w:p>
          <w:p w14:paraId="7CE3BB48" w14:textId="77777777" w:rsidR="00106283" w:rsidRDefault="00106283" w:rsidP="008D5DBA">
            <w:pPr>
              <w:pStyle w:val="Table"/>
              <w:rPr>
                <w:sz w:val="16"/>
                <w:szCs w:val="16"/>
              </w:rPr>
            </w:pPr>
            <w:r>
              <w:rPr>
                <w:sz w:val="16"/>
                <w:szCs w:val="16"/>
              </w:rPr>
              <w:t>Check to see if the client is eligible for an Early Stage Venture Capital Limited Partnership (ESVCLP) tax offset as either a limited partner of the ESVCLP or as an investor in an ESVCLP through a partnership or trust.</w:t>
            </w:r>
            <w:r w:rsidRPr="00BA4783">
              <w:rPr>
                <w:sz w:val="16"/>
                <w:szCs w:val="16"/>
              </w:rPr>
              <w:t xml:space="preserve"> </w:t>
            </w:r>
          </w:p>
          <w:p w14:paraId="7672D3A5" w14:textId="74572DDC" w:rsidR="00106283" w:rsidRPr="008D5DBA" w:rsidRDefault="00106283" w:rsidP="0031122F">
            <w:pPr>
              <w:pStyle w:val="Table"/>
              <w:rPr>
                <w:b/>
                <w:sz w:val="14"/>
                <w:szCs w:val="14"/>
              </w:rPr>
            </w:pPr>
            <w:r w:rsidRPr="008D5DBA">
              <w:rPr>
                <w:b/>
                <w:sz w:val="14"/>
                <w:szCs w:val="14"/>
              </w:rPr>
              <w:t>Note</w:t>
            </w:r>
            <w:r w:rsidRPr="008D5DBA">
              <w:rPr>
                <w:sz w:val="14"/>
                <w:szCs w:val="14"/>
              </w:rPr>
              <w:t xml:space="preserve">: a summary of the various eligibility rules concerning the tax offset </w:t>
            </w:r>
            <w:r>
              <w:rPr>
                <w:sz w:val="14"/>
                <w:szCs w:val="14"/>
              </w:rPr>
              <w:t xml:space="preserve">are available on the </w:t>
            </w:r>
            <w:hyperlink r:id="rId19" w:history="1">
              <w:r w:rsidRPr="0031122F">
                <w:rPr>
                  <w:rStyle w:val="Hyperlink"/>
                  <w:sz w:val="14"/>
                  <w:szCs w:val="14"/>
                </w:rPr>
                <w:t>ATO website</w:t>
              </w:r>
            </w:hyperlink>
            <w:r>
              <w:rPr>
                <w:sz w:val="14"/>
                <w:szCs w:val="14"/>
              </w:rPr>
              <w:t xml:space="preserve">. </w:t>
            </w:r>
          </w:p>
        </w:tc>
        <w:tc>
          <w:tcPr>
            <w:tcW w:w="1048" w:type="dxa"/>
          </w:tcPr>
          <w:p w14:paraId="2E2E48A5" w14:textId="77777777" w:rsidR="00106283" w:rsidRPr="005E76D2" w:rsidRDefault="00106283" w:rsidP="008D5DBA">
            <w:pPr>
              <w:pStyle w:val="Table"/>
              <w:jc w:val="center"/>
            </w:pPr>
          </w:p>
        </w:tc>
        <w:tc>
          <w:tcPr>
            <w:tcW w:w="1050" w:type="dxa"/>
          </w:tcPr>
          <w:p w14:paraId="40A5A467" w14:textId="77777777" w:rsidR="00106283" w:rsidRPr="005E76D2" w:rsidRDefault="00106283" w:rsidP="008D5DBA">
            <w:pPr>
              <w:pStyle w:val="Table"/>
              <w:jc w:val="center"/>
            </w:pPr>
          </w:p>
        </w:tc>
        <w:tc>
          <w:tcPr>
            <w:tcW w:w="1226" w:type="dxa"/>
            <w:gridSpan w:val="2"/>
          </w:tcPr>
          <w:p w14:paraId="2DA0E1AE" w14:textId="77777777" w:rsidR="00106283" w:rsidRPr="005E76D2" w:rsidRDefault="00106283" w:rsidP="008D5DBA">
            <w:pPr>
              <w:pStyle w:val="Table"/>
              <w:jc w:val="center"/>
            </w:pPr>
          </w:p>
        </w:tc>
      </w:tr>
      <w:tr w:rsidR="00106283" w:rsidRPr="005E76D2" w14:paraId="113F31D0" w14:textId="77777777" w:rsidTr="00F17C65">
        <w:tc>
          <w:tcPr>
            <w:tcW w:w="1242" w:type="dxa"/>
          </w:tcPr>
          <w:p w14:paraId="016CF71D" w14:textId="3FC23AD6" w:rsidR="00106283" w:rsidRPr="005E76D2" w:rsidRDefault="00106283" w:rsidP="008D5DBA">
            <w:pPr>
              <w:pStyle w:val="Table"/>
            </w:pPr>
            <w:r>
              <w:t>T9</w:t>
            </w:r>
          </w:p>
        </w:tc>
        <w:tc>
          <w:tcPr>
            <w:tcW w:w="5737" w:type="dxa"/>
          </w:tcPr>
          <w:p w14:paraId="7C0DD67D" w14:textId="6CEB9419" w:rsidR="00106283" w:rsidRPr="00BA4783" w:rsidRDefault="00106283" w:rsidP="008D5DBA">
            <w:pPr>
              <w:pStyle w:val="Table"/>
              <w:rPr>
                <w:b/>
                <w:sz w:val="16"/>
                <w:szCs w:val="16"/>
              </w:rPr>
            </w:pPr>
            <w:r>
              <w:rPr>
                <w:b/>
                <w:sz w:val="16"/>
                <w:szCs w:val="16"/>
              </w:rPr>
              <w:t>Early stage investor</w:t>
            </w:r>
          </w:p>
          <w:p w14:paraId="4C50BFF8" w14:textId="42412440" w:rsidR="00106283" w:rsidRPr="00C2361F" w:rsidRDefault="00106283" w:rsidP="0031122F">
            <w:pPr>
              <w:pStyle w:val="Table"/>
              <w:rPr>
                <w:rFonts w:cs="Arial"/>
                <w:sz w:val="14"/>
                <w:szCs w:val="14"/>
              </w:rPr>
            </w:pPr>
            <w:r>
              <w:rPr>
                <w:sz w:val="16"/>
                <w:szCs w:val="16"/>
              </w:rPr>
              <w:t xml:space="preserve">Check to see if your client is eligible for a tax offset as an investor in a qualifying Early Stage Innovation Company (ESIC) in the 2017 year. Special rules must be met by both the investor and the ESIC before this offset will be available. Broadly, an investor making a direct investment in a qualifying ESIC will be entitled to a tax offset of 20% on such an investment up to a maximum tax offset amount of $200,000 if that person is a sophisticated investor (or $10,000 if that person is not a sophisticated investor). Any unused portion of the offset may be potentially carried forward to subsequent years. </w:t>
            </w:r>
            <w:r>
              <w:rPr>
                <w:sz w:val="16"/>
                <w:szCs w:val="16"/>
              </w:rPr>
              <w:br/>
            </w:r>
            <w:r w:rsidRPr="00BA4783">
              <w:rPr>
                <w:rFonts w:cs="Arial"/>
                <w:b/>
                <w:sz w:val="14"/>
                <w:szCs w:val="14"/>
              </w:rPr>
              <w:t>Note:</w:t>
            </w:r>
            <w:r w:rsidRPr="00BA4783">
              <w:rPr>
                <w:rFonts w:cs="Arial"/>
                <w:sz w:val="14"/>
                <w:szCs w:val="14"/>
              </w:rPr>
              <w:t xml:space="preserve"> </w:t>
            </w:r>
            <w:r>
              <w:rPr>
                <w:rFonts w:cs="Arial"/>
                <w:sz w:val="14"/>
                <w:szCs w:val="14"/>
              </w:rPr>
              <w:t xml:space="preserve">a summary of </w:t>
            </w:r>
            <w:r w:rsidRPr="00BA4783">
              <w:rPr>
                <w:rFonts w:cs="Arial"/>
                <w:sz w:val="14"/>
                <w:szCs w:val="14"/>
              </w:rPr>
              <w:t xml:space="preserve">the </w:t>
            </w:r>
            <w:r>
              <w:rPr>
                <w:rFonts w:cs="Arial"/>
                <w:sz w:val="14"/>
                <w:szCs w:val="14"/>
              </w:rPr>
              <w:t xml:space="preserve">various eligibility rules concerning the tax offset are available on the </w:t>
            </w:r>
            <w:hyperlink r:id="rId20" w:history="1">
              <w:r w:rsidRPr="0031122F">
                <w:rPr>
                  <w:rStyle w:val="Hyperlink"/>
                  <w:rFonts w:cs="Arial"/>
                  <w:sz w:val="14"/>
                  <w:szCs w:val="14"/>
                </w:rPr>
                <w:t>ATO website</w:t>
              </w:r>
            </w:hyperlink>
            <w:r>
              <w:rPr>
                <w:rFonts w:cs="Arial"/>
                <w:sz w:val="14"/>
                <w:szCs w:val="14"/>
              </w:rPr>
              <w:t xml:space="preserve">. </w:t>
            </w:r>
          </w:p>
        </w:tc>
        <w:tc>
          <w:tcPr>
            <w:tcW w:w="1048" w:type="dxa"/>
          </w:tcPr>
          <w:p w14:paraId="50E15BEB" w14:textId="77777777" w:rsidR="00106283" w:rsidRPr="005E76D2" w:rsidRDefault="00106283" w:rsidP="008D5DBA">
            <w:pPr>
              <w:pStyle w:val="Table"/>
              <w:jc w:val="center"/>
            </w:pPr>
          </w:p>
        </w:tc>
        <w:tc>
          <w:tcPr>
            <w:tcW w:w="1050" w:type="dxa"/>
          </w:tcPr>
          <w:p w14:paraId="70902EF8" w14:textId="77777777" w:rsidR="00106283" w:rsidRPr="005E76D2" w:rsidRDefault="00106283" w:rsidP="008D5DBA">
            <w:pPr>
              <w:pStyle w:val="Table"/>
              <w:jc w:val="center"/>
            </w:pPr>
          </w:p>
        </w:tc>
        <w:tc>
          <w:tcPr>
            <w:tcW w:w="1226" w:type="dxa"/>
            <w:gridSpan w:val="2"/>
          </w:tcPr>
          <w:p w14:paraId="6666CFCF" w14:textId="77777777" w:rsidR="00106283" w:rsidRPr="005E76D2" w:rsidRDefault="00106283" w:rsidP="008D5DBA">
            <w:pPr>
              <w:pStyle w:val="Table"/>
              <w:jc w:val="center"/>
            </w:pPr>
          </w:p>
        </w:tc>
      </w:tr>
      <w:tr w:rsidR="00106283" w:rsidRPr="005E76D2" w14:paraId="35F3C104" w14:textId="77777777" w:rsidTr="00F17C65">
        <w:tc>
          <w:tcPr>
            <w:tcW w:w="1242" w:type="dxa"/>
          </w:tcPr>
          <w:p w14:paraId="34153491" w14:textId="7D1F80F4" w:rsidR="00106283" w:rsidRPr="005E76D2" w:rsidRDefault="00106283" w:rsidP="008D5DBA">
            <w:pPr>
              <w:pStyle w:val="Table"/>
            </w:pPr>
            <w:r>
              <w:t>T10</w:t>
            </w:r>
          </w:p>
        </w:tc>
        <w:tc>
          <w:tcPr>
            <w:tcW w:w="5737" w:type="dxa"/>
          </w:tcPr>
          <w:p w14:paraId="6176F4F0" w14:textId="77777777" w:rsidR="00106283" w:rsidRDefault="00106283" w:rsidP="008D5DBA">
            <w:pPr>
              <w:pStyle w:val="Table"/>
              <w:rPr>
                <w:b/>
                <w:sz w:val="16"/>
                <w:szCs w:val="16"/>
              </w:rPr>
            </w:pPr>
            <w:r w:rsidRPr="00BA4783">
              <w:rPr>
                <w:b/>
                <w:sz w:val="16"/>
                <w:szCs w:val="16"/>
              </w:rPr>
              <w:t>Other non-refundable tax offsets</w:t>
            </w:r>
          </w:p>
          <w:p w14:paraId="15104B10" w14:textId="23802590" w:rsidR="00106283" w:rsidRDefault="00106283" w:rsidP="008D5DBA">
            <w:pPr>
              <w:pStyle w:val="Table"/>
              <w:rPr>
                <w:sz w:val="16"/>
                <w:szCs w:val="16"/>
              </w:rPr>
            </w:pPr>
            <w:r w:rsidRPr="00BB7910">
              <w:rPr>
                <w:sz w:val="16"/>
                <w:szCs w:val="16"/>
              </w:rPr>
              <w:t>Tax offsets</w:t>
            </w:r>
            <w:r>
              <w:rPr>
                <w:sz w:val="16"/>
                <w:szCs w:val="16"/>
              </w:rPr>
              <w:t xml:space="preserve"> available include offsets concerning work or services performed in the Joint Petroleum Development Area (JDPA) of the Timor Sea and for interest under an infrastructure borrowings scheme. </w:t>
            </w:r>
          </w:p>
          <w:p w14:paraId="2C8E6077" w14:textId="1912872D" w:rsidR="00106283" w:rsidRPr="00BB7910" w:rsidRDefault="00106283" w:rsidP="008D5DBA">
            <w:pPr>
              <w:pStyle w:val="Table"/>
              <w:rPr>
                <w:sz w:val="16"/>
                <w:szCs w:val="16"/>
              </w:rPr>
            </w:pPr>
            <w:r w:rsidRPr="00BA4783">
              <w:rPr>
                <w:rFonts w:cs="Arial"/>
                <w:b/>
                <w:sz w:val="14"/>
                <w:szCs w:val="14"/>
              </w:rPr>
              <w:t>Note:</w:t>
            </w:r>
            <w:r w:rsidRPr="00BA4783">
              <w:rPr>
                <w:rFonts w:cs="Arial"/>
                <w:sz w:val="14"/>
                <w:szCs w:val="14"/>
              </w:rPr>
              <w:t xml:space="preserve"> </w:t>
            </w:r>
            <w:r>
              <w:rPr>
                <w:rFonts w:cs="Arial"/>
                <w:sz w:val="14"/>
                <w:szCs w:val="14"/>
              </w:rPr>
              <w:t xml:space="preserve">a non-refundable low-income offset is available for resident taxpayers that have a taxable income of less than $66,667 for the 2017 year, The maximum tax offset is $445 which is available to a taxpayer whose taxable income is $37,000 or less and which is reduced by 1.5 cents for each dollar over $37,000. This offset does not need to be disclosed in the income tax return as it will be automatically calculated by the ATO.        </w:t>
            </w:r>
          </w:p>
        </w:tc>
        <w:tc>
          <w:tcPr>
            <w:tcW w:w="1048" w:type="dxa"/>
          </w:tcPr>
          <w:p w14:paraId="6D177B23" w14:textId="77777777" w:rsidR="00106283" w:rsidRPr="005E76D2" w:rsidRDefault="00106283" w:rsidP="008D5DBA">
            <w:pPr>
              <w:pStyle w:val="Table"/>
              <w:jc w:val="center"/>
            </w:pPr>
          </w:p>
        </w:tc>
        <w:tc>
          <w:tcPr>
            <w:tcW w:w="1050" w:type="dxa"/>
          </w:tcPr>
          <w:p w14:paraId="38DBD99D" w14:textId="77777777" w:rsidR="00106283" w:rsidRPr="005E76D2" w:rsidRDefault="00106283" w:rsidP="008D5DBA">
            <w:pPr>
              <w:pStyle w:val="Table"/>
              <w:jc w:val="center"/>
            </w:pPr>
          </w:p>
        </w:tc>
        <w:tc>
          <w:tcPr>
            <w:tcW w:w="1226" w:type="dxa"/>
            <w:gridSpan w:val="2"/>
          </w:tcPr>
          <w:p w14:paraId="65382517" w14:textId="77777777" w:rsidR="00106283" w:rsidRPr="005E76D2" w:rsidRDefault="00106283" w:rsidP="008D5DBA">
            <w:pPr>
              <w:pStyle w:val="Table"/>
              <w:jc w:val="center"/>
            </w:pPr>
          </w:p>
        </w:tc>
      </w:tr>
    </w:tbl>
    <w:p w14:paraId="12B57AB0" w14:textId="77777777" w:rsidR="00C2361F" w:rsidRDefault="00C2361F">
      <w:r>
        <w:br w:type="page"/>
      </w:r>
    </w:p>
    <w:tbl>
      <w:tblPr>
        <w:tblW w:w="10314"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048"/>
        <w:gridCol w:w="1050"/>
        <w:gridCol w:w="1226"/>
        <w:gridCol w:w="11"/>
      </w:tblGrid>
      <w:tr w:rsidR="00C2361F" w:rsidRPr="006F61C9" w14:paraId="38FA8631" w14:textId="77777777" w:rsidTr="00106283">
        <w:trPr>
          <w:gridAfter w:val="1"/>
          <w:wAfter w:w="11" w:type="dxa"/>
        </w:trPr>
        <w:tc>
          <w:tcPr>
            <w:tcW w:w="1242" w:type="dxa"/>
            <w:tcBorders>
              <w:bottom w:val="single" w:sz="4" w:space="0" w:color="939598"/>
            </w:tcBorders>
            <w:shd w:val="clear" w:color="auto" w:fill="051C3C"/>
          </w:tcPr>
          <w:p w14:paraId="6D02EE77" w14:textId="77777777" w:rsidR="00C2361F" w:rsidRPr="006F61C9" w:rsidRDefault="00C2361F" w:rsidP="00106283">
            <w:pPr>
              <w:pStyle w:val="Table"/>
              <w:rPr>
                <w:b/>
              </w:rPr>
            </w:pPr>
            <w:r w:rsidRPr="006F61C9">
              <w:rPr>
                <w:b/>
              </w:rPr>
              <w:t>Tax Return Reference</w:t>
            </w:r>
          </w:p>
        </w:tc>
        <w:tc>
          <w:tcPr>
            <w:tcW w:w="5737" w:type="dxa"/>
            <w:tcBorders>
              <w:bottom w:val="single" w:sz="4" w:space="0" w:color="939598"/>
            </w:tcBorders>
            <w:shd w:val="clear" w:color="auto" w:fill="051C3C"/>
          </w:tcPr>
          <w:p w14:paraId="24834EA8" w14:textId="77777777" w:rsidR="00C2361F" w:rsidRPr="006F61C9" w:rsidRDefault="00C2361F" w:rsidP="00106283">
            <w:pPr>
              <w:pStyle w:val="Table"/>
              <w:rPr>
                <w:b/>
              </w:rPr>
            </w:pPr>
            <w:r w:rsidRPr="006F61C9">
              <w:rPr>
                <w:b/>
              </w:rPr>
              <w:t>Section of the Income Tax Return</w:t>
            </w:r>
          </w:p>
        </w:tc>
        <w:tc>
          <w:tcPr>
            <w:tcW w:w="1048" w:type="dxa"/>
            <w:tcBorders>
              <w:bottom w:val="single" w:sz="4" w:space="0" w:color="939598"/>
            </w:tcBorders>
            <w:shd w:val="clear" w:color="auto" w:fill="051C3C"/>
          </w:tcPr>
          <w:p w14:paraId="5C6D4D95" w14:textId="77777777" w:rsidR="00C2361F" w:rsidRPr="006F61C9" w:rsidRDefault="00C2361F" w:rsidP="00106283">
            <w:pPr>
              <w:pStyle w:val="Table"/>
              <w:jc w:val="center"/>
              <w:rPr>
                <w:b/>
              </w:rPr>
            </w:pPr>
            <w:r w:rsidRPr="006F61C9">
              <w:rPr>
                <w:b/>
              </w:rPr>
              <w:t>Column 1</w:t>
            </w:r>
          </w:p>
          <w:p w14:paraId="68464310" w14:textId="77777777" w:rsidR="00C2361F" w:rsidRPr="006F61C9" w:rsidRDefault="00C2361F" w:rsidP="00106283">
            <w:pPr>
              <w:pStyle w:val="Table"/>
              <w:jc w:val="center"/>
              <w:rPr>
                <w:b/>
              </w:rPr>
            </w:pPr>
            <w:r w:rsidRPr="006F61C9">
              <w:rPr>
                <w:b/>
              </w:rPr>
              <w:t>(A) (S) (N/A)</w:t>
            </w:r>
          </w:p>
        </w:tc>
        <w:tc>
          <w:tcPr>
            <w:tcW w:w="1050" w:type="dxa"/>
            <w:tcBorders>
              <w:bottom w:val="single" w:sz="4" w:space="0" w:color="939598"/>
            </w:tcBorders>
            <w:shd w:val="clear" w:color="auto" w:fill="051C3C"/>
          </w:tcPr>
          <w:p w14:paraId="6A87B944" w14:textId="77777777" w:rsidR="00C2361F" w:rsidRPr="006F61C9" w:rsidRDefault="00C2361F" w:rsidP="00106283">
            <w:pPr>
              <w:pStyle w:val="Table"/>
              <w:jc w:val="center"/>
              <w:rPr>
                <w:b/>
              </w:rPr>
            </w:pPr>
            <w:r w:rsidRPr="006F61C9">
              <w:rPr>
                <w:b/>
              </w:rPr>
              <w:t>Column 2</w:t>
            </w:r>
          </w:p>
          <w:p w14:paraId="73DB5A97" w14:textId="77777777" w:rsidR="00C2361F" w:rsidRPr="006F61C9" w:rsidRDefault="00C2361F" w:rsidP="00106283">
            <w:pPr>
              <w:pStyle w:val="Table"/>
              <w:jc w:val="center"/>
              <w:rPr>
                <w:b/>
              </w:rPr>
            </w:pPr>
            <w:r w:rsidRPr="006F61C9">
              <w:rPr>
                <w:b/>
              </w:rPr>
              <w:t>WP</w:t>
            </w:r>
          </w:p>
          <w:p w14:paraId="412F3A7B" w14:textId="77777777" w:rsidR="00C2361F" w:rsidRPr="006F61C9" w:rsidRDefault="00C2361F" w:rsidP="00106283">
            <w:pPr>
              <w:pStyle w:val="Table"/>
              <w:jc w:val="center"/>
              <w:rPr>
                <w:b/>
              </w:rPr>
            </w:pPr>
            <w:r w:rsidRPr="006F61C9">
              <w:rPr>
                <w:b/>
              </w:rPr>
              <w:t>(Y or N)</w:t>
            </w:r>
          </w:p>
        </w:tc>
        <w:tc>
          <w:tcPr>
            <w:tcW w:w="1226" w:type="dxa"/>
            <w:tcBorders>
              <w:bottom w:val="single" w:sz="4" w:space="0" w:color="939598"/>
            </w:tcBorders>
            <w:shd w:val="clear" w:color="auto" w:fill="051C3C"/>
          </w:tcPr>
          <w:p w14:paraId="4BE3629D" w14:textId="77777777" w:rsidR="00C2361F" w:rsidRPr="006F61C9" w:rsidRDefault="00C2361F" w:rsidP="00106283">
            <w:pPr>
              <w:pStyle w:val="Table"/>
              <w:jc w:val="center"/>
              <w:rPr>
                <w:b/>
              </w:rPr>
            </w:pPr>
            <w:r w:rsidRPr="006F61C9">
              <w:rPr>
                <w:b/>
              </w:rPr>
              <w:t>Column 3</w:t>
            </w:r>
          </w:p>
          <w:p w14:paraId="6D4B0A62" w14:textId="77777777" w:rsidR="00C2361F" w:rsidRPr="006F61C9" w:rsidRDefault="00C2361F" w:rsidP="00106283">
            <w:pPr>
              <w:pStyle w:val="Table"/>
              <w:jc w:val="center"/>
              <w:rPr>
                <w:b/>
              </w:rPr>
            </w:pPr>
            <w:r w:rsidRPr="006F61C9">
              <w:rPr>
                <w:b/>
              </w:rPr>
              <w:t>Attachment</w:t>
            </w:r>
          </w:p>
          <w:p w14:paraId="72DA3A46" w14:textId="77777777" w:rsidR="00C2361F" w:rsidRPr="006F61C9" w:rsidRDefault="00C2361F" w:rsidP="00106283">
            <w:pPr>
              <w:pStyle w:val="Table"/>
              <w:jc w:val="center"/>
              <w:rPr>
                <w:b/>
              </w:rPr>
            </w:pPr>
            <w:r w:rsidRPr="006F61C9">
              <w:rPr>
                <w:b/>
              </w:rPr>
              <w:t>(Y or N)</w:t>
            </w:r>
          </w:p>
        </w:tc>
      </w:tr>
      <w:tr w:rsidR="00C2361F" w:rsidRPr="00C2361F" w14:paraId="1BD2AEB8" w14:textId="77777777" w:rsidTr="00106283">
        <w:tblPrEx>
          <w:tblBorders>
            <w:insideH w:val="none" w:sz="0" w:space="0" w:color="auto"/>
            <w:insideV w:val="none" w:sz="0" w:space="0" w:color="auto"/>
          </w:tblBorders>
          <w:tblLook w:val="00A0" w:firstRow="1" w:lastRow="0" w:firstColumn="1" w:lastColumn="0" w:noHBand="0" w:noVBand="0"/>
        </w:tblPrEx>
        <w:tc>
          <w:tcPr>
            <w:tcW w:w="10314" w:type="dxa"/>
            <w:gridSpan w:val="6"/>
            <w:tcBorders>
              <w:top w:val="single" w:sz="4" w:space="0" w:color="939598"/>
              <w:bottom w:val="single" w:sz="4" w:space="0" w:color="939598"/>
            </w:tcBorders>
            <w:shd w:val="clear" w:color="auto" w:fill="D9D9D9" w:themeFill="background1" w:themeFillShade="D9"/>
            <w:vAlign w:val="center"/>
          </w:tcPr>
          <w:p w14:paraId="7DFADBE4" w14:textId="64D89133" w:rsidR="00C2361F" w:rsidRPr="00C2361F" w:rsidRDefault="00106283" w:rsidP="00106283">
            <w:pPr>
              <w:pStyle w:val="Tableheading"/>
            </w:pPr>
            <w:r>
              <w:t>S</w:t>
            </w:r>
            <w:r w:rsidRPr="00042197">
              <w:t>upplement Tax Offsets</w:t>
            </w:r>
            <w:r>
              <w:t xml:space="preserve"> </w:t>
            </w:r>
            <w:r w:rsidRPr="00280E66">
              <w:rPr>
                <w:b w:val="0"/>
              </w:rPr>
              <w:t>(continued)</w:t>
            </w:r>
          </w:p>
        </w:tc>
      </w:tr>
      <w:tr w:rsidR="00106283" w:rsidRPr="005E76D2" w14:paraId="0F0529F9" w14:textId="77777777" w:rsidTr="00106283">
        <w:trPr>
          <w:gridAfter w:val="1"/>
          <w:wAfter w:w="11" w:type="dxa"/>
        </w:trPr>
        <w:tc>
          <w:tcPr>
            <w:tcW w:w="1242" w:type="dxa"/>
            <w:tcBorders>
              <w:bottom w:val="single" w:sz="4" w:space="0" w:color="939598"/>
            </w:tcBorders>
            <w:shd w:val="clear" w:color="auto" w:fill="auto"/>
          </w:tcPr>
          <w:p w14:paraId="52E8A03B" w14:textId="6F293568" w:rsidR="00106283" w:rsidRPr="005E76D2" w:rsidRDefault="00106283" w:rsidP="00C2361F">
            <w:pPr>
              <w:pStyle w:val="Table"/>
            </w:pPr>
            <w:r w:rsidRPr="005E76D2">
              <w:t>T</w:t>
            </w:r>
            <w:r>
              <w:t>11</w:t>
            </w:r>
          </w:p>
        </w:tc>
        <w:tc>
          <w:tcPr>
            <w:tcW w:w="5737" w:type="dxa"/>
            <w:tcBorders>
              <w:bottom w:val="single" w:sz="4" w:space="0" w:color="939598"/>
            </w:tcBorders>
            <w:shd w:val="clear" w:color="auto" w:fill="auto"/>
          </w:tcPr>
          <w:p w14:paraId="1AF2C5FA" w14:textId="77777777" w:rsidR="00106283" w:rsidRPr="00BA4783" w:rsidRDefault="00106283" w:rsidP="00106283">
            <w:pPr>
              <w:pStyle w:val="Table"/>
              <w:rPr>
                <w:b/>
                <w:sz w:val="16"/>
                <w:szCs w:val="16"/>
              </w:rPr>
            </w:pPr>
            <w:r w:rsidRPr="00BA4783">
              <w:rPr>
                <w:b/>
                <w:sz w:val="16"/>
                <w:szCs w:val="16"/>
              </w:rPr>
              <w:t>Other refundable tax offsets</w:t>
            </w:r>
          </w:p>
          <w:p w14:paraId="4157CCA1" w14:textId="6EA1D093" w:rsidR="00106283" w:rsidRPr="005E76D2" w:rsidRDefault="00106283" w:rsidP="00106283">
            <w:pPr>
              <w:pStyle w:val="Table"/>
              <w:rPr>
                <w:b/>
              </w:rPr>
            </w:pPr>
            <w:r w:rsidRPr="00BA4783">
              <w:rPr>
                <w:sz w:val="16"/>
                <w:szCs w:val="16"/>
              </w:rPr>
              <w:t>Tax offsets are available to certain beneficiaries of special disability trusts for tax paid by the trustee, and for exploration credits received during the income year where the taxpayer was an Australian resident for the whole of the income year.</w:t>
            </w:r>
          </w:p>
        </w:tc>
        <w:tc>
          <w:tcPr>
            <w:tcW w:w="1048" w:type="dxa"/>
            <w:tcBorders>
              <w:bottom w:val="single" w:sz="4" w:space="0" w:color="939598"/>
            </w:tcBorders>
            <w:shd w:val="clear" w:color="auto" w:fill="auto"/>
          </w:tcPr>
          <w:p w14:paraId="6052041E"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4574E59D"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0999566" w14:textId="77777777" w:rsidR="00106283" w:rsidRPr="006F61C9" w:rsidRDefault="00106283" w:rsidP="00C2361F">
            <w:pPr>
              <w:pStyle w:val="Table"/>
              <w:jc w:val="center"/>
              <w:rPr>
                <w:b/>
              </w:rPr>
            </w:pPr>
          </w:p>
        </w:tc>
      </w:tr>
      <w:tr w:rsidR="00106283" w:rsidRPr="00C2361F" w14:paraId="12622A2C" w14:textId="77777777" w:rsidTr="00106283">
        <w:tblPrEx>
          <w:tblBorders>
            <w:insideH w:val="none" w:sz="0" w:space="0" w:color="auto"/>
            <w:insideV w:val="none" w:sz="0" w:space="0" w:color="auto"/>
          </w:tblBorders>
          <w:tblLook w:val="00A0" w:firstRow="1" w:lastRow="0" w:firstColumn="1" w:lastColumn="0" w:noHBand="0" w:noVBand="0"/>
        </w:tblPrEx>
        <w:tc>
          <w:tcPr>
            <w:tcW w:w="10314" w:type="dxa"/>
            <w:gridSpan w:val="6"/>
            <w:tcBorders>
              <w:top w:val="single" w:sz="4" w:space="0" w:color="939598"/>
              <w:bottom w:val="single" w:sz="4" w:space="0" w:color="939598"/>
            </w:tcBorders>
            <w:shd w:val="clear" w:color="auto" w:fill="D9D9D9" w:themeFill="background1" w:themeFillShade="D9"/>
            <w:vAlign w:val="center"/>
          </w:tcPr>
          <w:p w14:paraId="76F79027" w14:textId="77777777" w:rsidR="00106283" w:rsidRPr="00C2361F" w:rsidRDefault="00106283" w:rsidP="00106283">
            <w:pPr>
              <w:pStyle w:val="Tableheading"/>
            </w:pPr>
            <w:r w:rsidRPr="00535359">
              <w:t>Medicare Levy Related Items</w:t>
            </w:r>
          </w:p>
        </w:tc>
      </w:tr>
      <w:tr w:rsidR="00106283" w:rsidRPr="005E76D2" w14:paraId="2A6D8054" w14:textId="77777777" w:rsidTr="00106283">
        <w:trPr>
          <w:gridAfter w:val="1"/>
          <w:wAfter w:w="11" w:type="dxa"/>
        </w:trPr>
        <w:tc>
          <w:tcPr>
            <w:tcW w:w="10303" w:type="dxa"/>
            <w:gridSpan w:val="5"/>
            <w:tcBorders>
              <w:bottom w:val="single" w:sz="4" w:space="0" w:color="939598"/>
            </w:tcBorders>
            <w:shd w:val="clear" w:color="auto" w:fill="auto"/>
          </w:tcPr>
          <w:p w14:paraId="5A953DB7" w14:textId="426FC5A5" w:rsidR="00106283" w:rsidRPr="006F61C9" w:rsidRDefault="00106283" w:rsidP="007B7A16">
            <w:pPr>
              <w:pStyle w:val="Table"/>
              <w:rPr>
                <w:b/>
              </w:rPr>
            </w:pPr>
            <w:r w:rsidRPr="00106283">
              <w:rPr>
                <w:b/>
                <w:sz w:val="16"/>
                <w:szCs w:val="16"/>
              </w:rPr>
              <w:t>Note:</w:t>
            </w:r>
            <w:r w:rsidRPr="00C2361F">
              <w:rPr>
                <w:sz w:val="16"/>
                <w:szCs w:val="16"/>
              </w:rPr>
              <w:t xml:space="preserve"> check that spouse and child details (if any) are included to ensure that all questions on the Medicare levy are correctly answered.</w:t>
            </w:r>
          </w:p>
        </w:tc>
      </w:tr>
      <w:tr w:rsidR="00106283" w:rsidRPr="005E76D2" w14:paraId="759B07CC" w14:textId="77777777" w:rsidTr="00106283">
        <w:trPr>
          <w:gridAfter w:val="1"/>
          <w:wAfter w:w="11" w:type="dxa"/>
        </w:trPr>
        <w:tc>
          <w:tcPr>
            <w:tcW w:w="1242" w:type="dxa"/>
            <w:tcBorders>
              <w:bottom w:val="single" w:sz="4" w:space="0" w:color="939598"/>
            </w:tcBorders>
            <w:shd w:val="clear" w:color="auto" w:fill="auto"/>
          </w:tcPr>
          <w:p w14:paraId="047455E0" w14:textId="2C96241A" w:rsidR="00106283" w:rsidRPr="009A796B" w:rsidRDefault="00106283" w:rsidP="00C2361F">
            <w:pPr>
              <w:pStyle w:val="Table"/>
            </w:pPr>
            <w:r w:rsidRPr="005E76D2">
              <w:t>M1</w:t>
            </w:r>
          </w:p>
        </w:tc>
        <w:tc>
          <w:tcPr>
            <w:tcW w:w="5737" w:type="dxa"/>
            <w:tcBorders>
              <w:bottom w:val="single" w:sz="4" w:space="0" w:color="939598"/>
            </w:tcBorders>
            <w:shd w:val="clear" w:color="auto" w:fill="auto"/>
          </w:tcPr>
          <w:p w14:paraId="16F3B205" w14:textId="77777777" w:rsidR="00106283" w:rsidRPr="005E76D2" w:rsidRDefault="00106283" w:rsidP="00106283">
            <w:pPr>
              <w:pStyle w:val="Table"/>
              <w:rPr>
                <w:b/>
              </w:rPr>
            </w:pPr>
            <w:r w:rsidRPr="005E76D2">
              <w:rPr>
                <w:b/>
              </w:rPr>
              <w:t>Medicare levy reduction or exemption</w:t>
            </w:r>
          </w:p>
          <w:p w14:paraId="1E01229D" w14:textId="77777777" w:rsidR="00106283" w:rsidRPr="00391B86" w:rsidRDefault="00106283" w:rsidP="00106283">
            <w:pPr>
              <w:pStyle w:val="Table"/>
            </w:pPr>
            <w:r w:rsidRPr="005E76D2">
              <w:t xml:space="preserve">Available for low income individuals / families and other prescribed </w:t>
            </w:r>
            <w:r w:rsidRPr="00391B86">
              <w:t>persons.</w:t>
            </w:r>
          </w:p>
          <w:p w14:paraId="7E0F1B22" w14:textId="2C99AEBD" w:rsidR="00106283" w:rsidRPr="009A796B" w:rsidRDefault="00106283" w:rsidP="00C2361F">
            <w:pPr>
              <w:pStyle w:val="Table"/>
              <w:rPr>
                <w:b/>
              </w:rPr>
            </w:pPr>
            <w:r w:rsidRPr="00391B86">
              <w:rPr>
                <w:b/>
                <w:sz w:val="14"/>
                <w:szCs w:val="14"/>
              </w:rPr>
              <w:t>Note</w:t>
            </w:r>
            <w:r w:rsidRPr="00391B86">
              <w:rPr>
                <w:sz w:val="14"/>
                <w:szCs w:val="14"/>
              </w:rPr>
              <w:t xml:space="preserve">: </w:t>
            </w:r>
            <w:r>
              <w:rPr>
                <w:sz w:val="14"/>
                <w:szCs w:val="14"/>
              </w:rPr>
              <w:t xml:space="preserve">no Medicare levy is payable for the 2017 year if taxable income for a resident individual whose taxable income does not exceed $21,655 or for a married couple with no children whose taxable income does not exceed $36,541. The income threshold for a married couple is increased by $3,356 for each dependent child or student. </w:t>
            </w:r>
          </w:p>
        </w:tc>
        <w:tc>
          <w:tcPr>
            <w:tcW w:w="1048" w:type="dxa"/>
            <w:tcBorders>
              <w:bottom w:val="single" w:sz="4" w:space="0" w:color="939598"/>
            </w:tcBorders>
            <w:shd w:val="clear" w:color="auto" w:fill="auto"/>
          </w:tcPr>
          <w:p w14:paraId="2490E05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4FC10B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51B5BBC" w14:textId="77777777" w:rsidR="00106283" w:rsidRPr="006F61C9" w:rsidRDefault="00106283" w:rsidP="00C2361F">
            <w:pPr>
              <w:pStyle w:val="Table"/>
              <w:jc w:val="center"/>
              <w:rPr>
                <w:b/>
              </w:rPr>
            </w:pPr>
          </w:p>
        </w:tc>
      </w:tr>
      <w:tr w:rsidR="00106283" w:rsidRPr="005E76D2" w14:paraId="1BC82E5B" w14:textId="77777777" w:rsidTr="00106283">
        <w:trPr>
          <w:gridAfter w:val="1"/>
          <w:wAfter w:w="11" w:type="dxa"/>
        </w:trPr>
        <w:tc>
          <w:tcPr>
            <w:tcW w:w="1242" w:type="dxa"/>
            <w:tcBorders>
              <w:bottom w:val="single" w:sz="4" w:space="0" w:color="939598"/>
            </w:tcBorders>
            <w:shd w:val="clear" w:color="auto" w:fill="auto"/>
          </w:tcPr>
          <w:p w14:paraId="223B65F2" w14:textId="31555CC3" w:rsidR="00106283" w:rsidRPr="009A796B" w:rsidRDefault="00106283" w:rsidP="00C2361F">
            <w:pPr>
              <w:pStyle w:val="Table"/>
            </w:pPr>
            <w:r w:rsidRPr="009A796B">
              <w:t>M2</w:t>
            </w:r>
          </w:p>
        </w:tc>
        <w:tc>
          <w:tcPr>
            <w:tcW w:w="5737" w:type="dxa"/>
            <w:tcBorders>
              <w:bottom w:val="single" w:sz="4" w:space="0" w:color="939598"/>
            </w:tcBorders>
            <w:shd w:val="clear" w:color="auto" w:fill="auto"/>
          </w:tcPr>
          <w:p w14:paraId="32D46042" w14:textId="77777777" w:rsidR="00106283" w:rsidRPr="009A796B" w:rsidRDefault="00106283" w:rsidP="00C2361F">
            <w:pPr>
              <w:pStyle w:val="Table"/>
              <w:rPr>
                <w:b/>
              </w:rPr>
            </w:pPr>
            <w:r w:rsidRPr="009A796B">
              <w:rPr>
                <w:b/>
              </w:rPr>
              <w:t>Medicare levy surcharge (MLS)</w:t>
            </w:r>
          </w:p>
          <w:p w14:paraId="187D9F64" w14:textId="77777777" w:rsidR="00106283" w:rsidRPr="00AC73F0" w:rsidRDefault="00106283" w:rsidP="00C2361F">
            <w:pPr>
              <w:pStyle w:val="BodyText"/>
              <w:spacing w:before="60" w:after="60"/>
              <w:rPr>
                <w:sz w:val="17"/>
                <w:szCs w:val="17"/>
              </w:rPr>
            </w:pPr>
            <w:r w:rsidRPr="00AC73F0">
              <w:rPr>
                <w:sz w:val="17"/>
                <w:szCs w:val="17"/>
              </w:rPr>
              <w:t xml:space="preserve">The Medicare levy surcharge is payable if a taxpayer and at least one dependant is not covered by an appropriate health insurance policy providing private hospital patient cover and total income for surcharge purposes exceeds certain thresholds. An additional 1% Medicare </w:t>
            </w:r>
            <w:r w:rsidRPr="00AC73F0" w:rsidDel="00CD3C81">
              <w:rPr>
                <w:sz w:val="17"/>
                <w:szCs w:val="17"/>
              </w:rPr>
              <w:t>l</w:t>
            </w:r>
            <w:r w:rsidRPr="00AC73F0">
              <w:rPr>
                <w:sz w:val="17"/>
                <w:szCs w:val="17"/>
              </w:rPr>
              <w:t xml:space="preserve">evy </w:t>
            </w:r>
            <w:r w:rsidRPr="00AC73F0" w:rsidDel="00CD3C81">
              <w:rPr>
                <w:sz w:val="17"/>
                <w:szCs w:val="17"/>
              </w:rPr>
              <w:t>s</w:t>
            </w:r>
            <w:r w:rsidRPr="00AC73F0">
              <w:rPr>
                <w:sz w:val="17"/>
                <w:szCs w:val="17"/>
              </w:rPr>
              <w:t>urcharge is imposed on single taxpayers and families who derive total surcharge income in excess of $90,000 and $180,000 respectively for the 201</w:t>
            </w:r>
            <w:r>
              <w:rPr>
                <w:sz w:val="17"/>
                <w:szCs w:val="17"/>
              </w:rPr>
              <w:t>7</w:t>
            </w:r>
            <w:r w:rsidRPr="00AC73F0">
              <w:rPr>
                <w:sz w:val="17"/>
                <w:szCs w:val="17"/>
              </w:rPr>
              <w:t xml:space="preserve"> year. Furthermore, where the total surcharge income exceeds $105,000 for singles and $210,000 for families the Medicare levy surcharge rate is increased to 1.25% for the 201</w:t>
            </w:r>
            <w:r>
              <w:rPr>
                <w:sz w:val="17"/>
                <w:szCs w:val="17"/>
              </w:rPr>
              <w:t>7</w:t>
            </w:r>
            <w:r w:rsidRPr="00AC73F0">
              <w:rPr>
                <w:sz w:val="17"/>
                <w:szCs w:val="17"/>
              </w:rPr>
              <w:t xml:space="preserve"> tax year, and where the total surcharge income exceeds $140,000 for singles and $280,000 for families the Medicare levy surcharge rate is 1.5% for the 201</w:t>
            </w:r>
            <w:r>
              <w:rPr>
                <w:sz w:val="17"/>
                <w:szCs w:val="17"/>
              </w:rPr>
              <w:t>7</w:t>
            </w:r>
            <w:r w:rsidRPr="00AC73F0">
              <w:rPr>
                <w:sz w:val="17"/>
                <w:szCs w:val="17"/>
              </w:rPr>
              <w:t xml:space="preserve"> year. The income threshold for a family for surcharge purposes is increased by $1,500 for each dependent child after the first child.   </w:t>
            </w:r>
          </w:p>
          <w:p w14:paraId="5BC2BFEA" w14:textId="265889E2" w:rsidR="00106283" w:rsidRPr="009A796B" w:rsidRDefault="00106283" w:rsidP="00C2361F">
            <w:pPr>
              <w:pStyle w:val="Table"/>
              <w:rPr>
                <w:b/>
              </w:rPr>
            </w:pPr>
            <w:r w:rsidRPr="00A05976">
              <w:rPr>
                <w:b/>
                <w:sz w:val="14"/>
                <w:szCs w:val="14"/>
              </w:rPr>
              <w:t>Note</w:t>
            </w:r>
            <w:r w:rsidRPr="00A05976">
              <w:rPr>
                <w:sz w:val="14"/>
                <w:szCs w:val="14"/>
              </w:rPr>
              <w:t>: broadly,</w:t>
            </w:r>
            <w:r w:rsidRPr="00D23939">
              <w:rPr>
                <w:sz w:val="14"/>
                <w:szCs w:val="14"/>
              </w:rPr>
              <w:t xml:space="preserve"> total surcharge income comprises taxable income, exempt foreign employment income, reportable fringe benefits, reportable superannuation contributions, any net investment loss and </w:t>
            </w:r>
            <w:r>
              <w:rPr>
                <w:sz w:val="14"/>
                <w:szCs w:val="14"/>
              </w:rPr>
              <w:t xml:space="preserve">the net </w:t>
            </w:r>
            <w:r w:rsidRPr="00D23939">
              <w:rPr>
                <w:sz w:val="14"/>
                <w:szCs w:val="14"/>
              </w:rPr>
              <w:t xml:space="preserve">amount on which </w:t>
            </w:r>
            <w:r>
              <w:rPr>
                <w:sz w:val="14"/>
                <w:szCs w:val="14"/>
              </w:rPr>
              <w:t xml:space="preserve">any </w:t>
            </w:r>
            <w:r w:rsidRPr="00D23939">
              <w:rPr>
                <w:sz w:val="14"/>
                <w:szCs w:val="14"/>
              </w:rPr>
              <w:t xml:space="preserve">family trust distribution tax has been </w:t>
            </w:r>
            <w:r>
              <w:rPr>
                <w:sz w:val="14"/>
                <w:szCs w:val="14"/>
              </w:rPr>
              <w:t>paid.</w:t>
            </w:r>
          </w:p>
        </w:tc>
        <w:tc>
          <w:tcPr>
            <w:tcW w:w="1048" w:type="dxa"/>
            <w:tcBorders>
              <w:bottom w:val="single" w:sz="4" w:space="0" w:color="939598"/>
            </w:tcBorders>
            <w:shd w:val="clear" w:color="auto" w:fill="auto"/>
          </w:tcPr>
          <w:p w14:paraId="59496D64"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70F6790E"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3A8F0539" w14:textId="77777777" w:rsidR="00106283" w:rsidRPr="006F61C9" w:rsidRDefault="00106283" w:rsidP="00C2361F">
            <w:pPr>
              <w:pStyle w:val="Table"/>
              <w:jc w:val="center"/>
              <w:rPr>
                <w:b/>
              </w:rPr>
            </w:pPr>
          </w:p>
        </w:tc>
      </w:tr>
      <w:tr w:rsidR="00106283" w:rsidRPr="005E76D2" w14:paraId="5426D539" w14:textId="77777777" w:rsidTr="00106283">
        <w:trPr>
          <w:gridAfter w:val="1"/>
          <w:wAfter w:w="11" w:type="dxa"/>
        </w:trPr>
        <w:tc>
          <w:tcPr>
            <w:tcW w:w="1242" w:type="dxa"/>
            <w:tcBorders>
              <w:bottom w:val="single" w:sz="4" w:space="0" w:color="939598"/>
            </w:tcBorders>
            <w:shd w:val="clear" w:color="auto" w:fill="auto"/>
          </w:tcPr>
          <w:p w14:paraId="6FF7968C" w14:textId="77777777" w:rsidR="00106283" w:rsidRPr="009A796B" w:rsidRDefault="00106283" w:rsidP="00C2361F">
            <w:pPr>
              <w:pStyle w:val="Table"/>
            </w:pPr>
          </w:p>
        </w:tc>
        <w:tc>
          <w:tcPr>
            <w:tcW w:w="5737" w:type="dxa"/>
            <w:tcBorders>
              <w:bottom w:val="single" w:sz="4" w:space="0" w:color="939598"/>
            </w:tcBorders>
            <w:shd w:val="clear" w:color="auto" w:fill="auto"/>
          </w:tcPr>
          <w:p w14:paraId="08575F37" w14:textId="5E75550D" w:rsidR="00106283" w:rsidRPr="009A796B" w:rsidRDefault="00106283" w:rsidP="00C2361F">
            <w:pPr>
              <w:pStyle w:val="Table"/>
              <w:rPr>
                <w:b/>
              </w:rPr>
            </w:pPr>
            <w:r w:rsidRPr="009A796B">
              <w:rPr>
                <w:b/>
              </w:rPr>
              <w:t>Private health insurance</w:t>
            </w:r>
            <w:r>
              <w:rPr>
                <w:b/>
              </w:rPr>
              <w:t xml:space="preserve"> policy details</w:t>
            </w:r>
          </w:p>
          <w:p w14:paraId="1AEC7941" w14:textId="5DCC7DF3" w:rsidR="00106283" w:rsidRPr="009A796B" w:rsidRDefault="00106283" w:rsidP="00C2361F">
            <w:pPr>
              <w:pStyle w:val="Table"/>
            </w:pPr>
            <w:r w:rsidRPr="009A796B">
              <w:t xml:space="preserve">Obtain details of the client’s </w:t>
            </w:r>
            <w:r>
              <w:t xml:space="preserve">membership of the </w:t>
            </w:r>
            <w:r w:rsidRPr="009A796B">
              <w:t>health fund</w:t>
            </w:r>
            <w:r>
              <w:t>,</w:t>
            </w:r>
            <w:r w:rsidRPr="009A796B">
              <w:t xml:space="preserve"> and ascertain whether any </w:t>
            </w:r>
            <w:r>
              <w:t xml:space="preserve">offset </w:t>
            </w:r>
            <w:r w:rsidRPr="009A796B">
              <w:t xml:space="preserve">has </w:t>
            </w:r>
            <w:r>
              <w:t xml:space="preserve">been </w:t>
            </w:r>
            <w:r w:rsidRPr="009A796B">
              <w:t xml:space="preserve">claimed via the fund </w:t>
            </w:r>
            <w:r>
              <w:t xml:space="preserve">by way of reduced premiums </w:t>
            </w:r>
            <w:r w:rsidRPr="009A796B">
              <w:t>before determining whether a</w:t>
            </w:r>
            <w:r>
              <w:t xml:space="preserve"> tax </w:t>
            </w:r>
            <w:r w:rsidRPr="009A796B">
              <w:t>offset can be claimed through the return.</w:t>
            </w:r>
          </w:p>
          <w:p w14:paraId="7CF475E5" w14:textId="0E6C8D53" w:rsidR="00106283" w:rsidRPr="00C108A5" w:rsidRDefault="00106283" w:rsidP="00C2361F">
            <w:pPr>
              <w:pStyle w:val="Table"/>
              <w:rPr>
                <w:b/>
                <w:sz w:val="14"/>
                <w:szCs w:val="14"/>
              </w:rPr>
            </w:pPr>
            <w:r w:rsidRPr="00C108A5">
              <w:rPr>
                <w:b/>
                <w:sz w:val="14"/>
                <w:szCs w:val="14"/>
              </w:rPr>
              <w:t>Note</w:t>
            </w:r>
            <w:r w:rsidRPr="00C108A5">
              <w:rPr>
                <w:sz w:val="14"/>
                <w:szCs w:val="14"/>
              </w:rPr>
              <w:t xml:space="preserve">: the amount of </w:t>
            </w:r>
            <w:r>
              <w:rPr>
                <w:sz w:val="14"/>
                <w:szCs w:val="14"/>
              </w:rPr>
              <w:t>any</w:t>
            </w:r>
            <w:r w:rsidRPr="00C108A5">
              <w:rPr>
                <w:sz w:val="14"/>
                <w:szCs w:val="14"/>
              </w:rPr>
              <w:t xml:space="preserve"> </w:t>
            </w:r>
            <w:r w:rsidRPr="00C108A5">
              <w:rPr>
                <w:bCs/>
                <w:sz w:val="14"/>
                <w:szCs w:val="14"/>
              </w:rPr>
              <w:t xml:space="preserve">private health insurance rebate entitlement will vary depending on </w:t>
            </w:r>
            <w:r>
              <w:rPr>
                <w:bCs/>
                <w:sz w:val="14"/>
                <w:szCs w:val="14"/>
              </w:rPr>
              <w:t>the amount of income for surcharge purposes whether derived by a single person or as a family, and whether the policy covers one or more persons aged 65 or over.</w:t>
            </w:r>
          </w:p>
        </w:tc>
        <w:tc>
          <w:tcPr>
            <w:tcW w:w="1048" w:type="dxa"/>
            <w:tcBorders>
              <w:bottom w:val="single" w:sz="4" w:space="0" w:color="939598"/>
            </w:tcBorders>
            <w:shd w:val="clear" w:color="auto" w:fill="auto"/>
          </w:tcPr>
          <w:p w14:paraId="495BD6BD" w14:textId="77777777" w:rsidR="00106283" w:rsidRPr="006F61C9" w:rsidRDefault="00106283" w:rsidP="00C2361F">
            <w:pPr>
              <w:pStyle w:val="Table"/>
              <w:jc w:val="center"/>
              <w:rPr>
                <w:b/>
              </w:rPr>
            </w:pPr>
          </w:p>
        </w:tc>
        <w:tc>
          <w:tcPr>
            <w:tcW w:w="1050" w:type="dxa"/>
            <w:tcBorders>
              <w:bottom w:val="single" w:sz="4" w:space="0" w:color="939598"/>
            </w:tcBorders>
            <w:shd w:val="clear" w:color="auto" w:fill="auto"/>
          </w:tcPr>
          <w:p w14:paraId="6349F6EF" w14:textId="77777777" w:rsidR="00106283" w:rsidRPr="006F61C9" w:rsidRDefault="00106283" w:rsidP="00C2361F">
            <w:pPr>
              <w:pStyle w:val="Table"/>
              <w:jc w:val="center"/>
              <w:rPr>
                <w:b/>
              </w:rPr>
            </w:pPr>
          </w:p>
        </w:tc>
        <w:tc>
          <w:tcPr>
            <w:tcW w:w="1226" w:type="dxa"/>
            <w:tcBorders>
              <w:bottom w:val="single" w:sz="4" w:space="0" w:color="939598"/>
            </w:tcBorders>
            <w:shd w:val="clear" w:color="auto" w:fill="auto"/>
          </w:tcPr>
          <w:p w14:paraId="27932CB5" w14:textId="77777777" w:rsidR="00106283" w:rsidRPr="006F61C9" w:rsidRDefault="00106283" w:rsidP="00C2361F">
            <w:pPr>
              <w:pStyle w:val="Table"/>
              <w:jc w:val="center"/>
              <w:rPr>
                <w:b/>
              </w:rPr>
            </w:pPr>
          </w:p>
        </w:tc>
      </w:tr>
      <w:tr w:rsidR="00106283" w:rsidRPr="00AF24CF" w14:paraId="4951E873" w14:textId="77777777" w:rsidTr="00106283">
        <w:tblPrEx>
          <w:tblBorders>
            <w:insideH w:val="none" w:sz="0" w:space="0" w:color="auto"/>
            <w:insideV w:val="none" w:sz="0" w:space="0" w:color="auto"/>
          </w:tblBorders>
          <w:tblLook w:val="00A0" w:firstRow="1" w:lastRow="0" w:firstColumn="1" w:lastColumn="0" w:noHBand="0" w:noVBand="0"/>
        </w:tblPrEx>
        <w:trPr>
          <w:gridAfter w:val="1"/>
          <w:wAfter w:w="11" w:type="dxa"/>
        </w:trPr>
        <w:tc>
          <w:tcPr>
            <w:tcW w:w="10303" w:type="dxa"/>
            <w:gridSpan w:val="5"/>
            <w:tcBorders>
              <w:top w:val="single" w:sz="4" w:space="0" w:color="939598"/>
              <w:bottom w:val="single" w:sz="4" w:space="0" w:color="939598"/>
            </w:tcBorders>
            <w:shd w:val="clear" w:color="auto" w:fill="D9D9D9" w:themeFill="background1" w:themeFillShade="D9"/>
            <w:vAlign w:val="center"/>
          </w:tcPr>
          <w:p w14:paraId="70CED1C2" w14:textId="77777777" w:rsidR="00106283" w:rsidRPr="00AF24CF" w:rsidRDefault="00106283" w:rsidP="00C2361F">
            <w:pPr>
              <w:pStyle w:val="Tableheading"/>
            </w:pPr>
            <w:r w:rsidRPr="00BC518C">
              <w:t xml:space="preserve">Adjustments </w:t>
            </w:r>
          </w:p>
        </w:tc>
      </w:tr>
      <w:tr w:rsidR="00106283" w:rsidRPr="005E76D2" w14:paraId="76AA32AB" w14:textId="77777777" w:rsidTr="00106283">
        <w:trPr>
          <w:gridAfter w:val="1"/>
          <w:wAfter w:w="11" w:type="dxa"/>
        </w:trPr>
        <w:tc>
          <w:tcPr>
            <w:tcW w:w="1242" w:type="dxa"/>
          </w:tcPr>
          <w:p w14:paraId="664F700C" w14:textId="77777777" w:rsidR="00106283" w:rsidRPr="005E76D2" w:rsidRDefault="00106283" w:rsidP="00C2361F">
            <w:pPr>
              <w:pStyle w:val="Table"/>
            </w:pPr>
            <w:r w:rsidRPr="005E76D2">
              <w:t>A1</w:t>
            </w:r>
          </w:p>
        </w:tc>
        <w:tc>
          <w:tcPr>
            <w:tcW w:w="5737" w:type="dxa"/>
          </w:tcPr>
          <w:p w14:paraId="108A6842" w14:textId="77777777" w:rsidR="00106283" w:rsidRPr="005E76D2" w:rsidRDefault="00106283" w:rsidP="00C2361F">
            <w:pPr>
              <w:pStyle w:val="Table"/>
              <w:rPr>
                <w:b/>
              </w:rPr>
            </w:pPr>
            <w:r w:rsidRPr="005E76D2">
              <w:rPr>
                <w:b/>
              </w:rPr>
              <w:t>Under 18</w:t>
            </w:r>
          </w:p>
          <w:p w14:paraId="28CE7509" w14:textId="7CBE1145" w:rsidR="00106283" w:rsidRPr="005E76D2" w:rsidRDefault="00106283" w:rsidP="00C2361F">
            <w:pPr>
              <w:pStyle w:val="Table"/>
            </w:pPr>
            <w:r>
              <w:t xml:space="preserve">Requires minors under the age of 18 at 30 June 2017 to include certain income (e.g. net business and employment income or income from a deceased estate) which should not be subject at punitive higher tax rates. </w:t>
            </w:r>
          </w:p>
        </w:tc>
        <w:tc>
          <w:tcPr>
            <w:tcW w:w="1048" w:type="dxa"/>
          </w:tcPr>
          <w:p w14:paraId="136C9192" w14:textId="77777777" w:rsidR="00106283" w:rsidRPr="005E76D2" w:rsidRDefault="00106283" w:rsidP="00C2361F">
            <w:pPr>
              <w:pStyle w:val="Table"/>
              <w:jc w:val="center"/>
            </w:pPr>
          </w:p>
        </w:tc>
        <w:tc>
          <w:tcPr>
            <w:tcW w:w="1050" w:type="dxa"/>
          </w:tcPr>
          <w:p w14:paraId="47194376" w14:textId="77777777" w:rsidR="00106283" w:rsidRPr="005E76D2" w:rsidRDefault="00106283" w:rsidP="00C2361F">
            <w:pPr>
              <w:pStyle w:val="Table"/>
              <w:jc w:val="center"/>
            </w:pPr>
          </w:p>
        </w:tc>
        <w:tc>
          <w:tcPr>
            <w:tcW w:w="1226" w:type="dxa"/>
          </w:tcPr>
          <w:p w14:paraId="2F3DF344" w14:textId="77777777" w:rsidR="00106283" w:rsidRPr="005E76D2" w:rsidRDefault="00106283" w:rsidP="00C2361F">
            <w:pPr>
              <w:pStyle w:val="Table"/>
              <w:jc w:val="center"/>
            </w:pPr>
          </w:p>
        </w:tc>
      </w:tr>
      <w:tr w:rsidR="00106283" w:rsidRPr="005E76D2" w14:paraId="77C5D3AB" w14:textId="77777777" w:rsidTr="00106283">
        <w:trPr>
          <w:gridAfter w:val="1"/>
          <w:wAfter w:w="11" w:type="dxa"/>
        </w:trPr>
        <w:tc>
          <w:tcPr>
            <w:tcW w:w="1242" w:type="dxa"/>
          </w:tcPr>
          <w:p w14:paraId="7A66C872" w14:textId="77777777" w:rsidR="00106283" w:rsidRPr="005E76D2" w:rsidRDefault="00106283" w:rsidP="00C2361F">
            <w:pPr>
              <w:pStyle w:val="Table"/>
            </w:pPr>
            <w:r w:rsidRPr="005E76D2">
              <w:t>A2</w:t>
            </w:r>
          </w:p>
        </w:tc>
        <w:tc>
          <w:tcPr>
            <w:tcW w:w="5737" w:type="dxa"/>
          </w:tcPr>
          <w:p w14:paraId="5424C735" w14:textId="77777777" w:rsidR="00106283" w:rsidRPr="005E76D2" w:rsidRDefault="00106283" w:rsidP="00C2361F">
            <w:pPr>
              <w:pStyle w:val="Table"/>
              <w:rPr>
                <w:b/>
              </w:rPr>
            </w:pPr>
            <w:r w:rsidRPr="005E76D2">
              <w:rPr>
                <w:b/>
              </w:rPr>
              <w:t>Part</w:t>
            </w:r>
            <w:r>
              <w:rPr>
                <w:b/>
              </w:rPr>
              <w:t>-</w:t>
            </w:r>
            <w:r w:rsidRPr="005E76D2">
              <w:rPr>
                <w:b/>
              </w:rPr>
              <w:t>year</w:t>
            </w:r>
            <w:r>
              <w:rPr>
                <w:b/>
              </w:rPr>
              <w:t>-</w:t>
            </w:r>
            <w:r w:rsidRPr="005E76D2">
              <w:rPr>
                <w:b/>
              </w:rPr>
              <w:t>tax free threshold</w:t>
            </w:r>
          </w:p>
          <w:p w14:paraId="21FB1798" w14:textId="317B88E4" w:rsidR="00106283" w:rsidRPr="005E76D2" w:rsidRDefault="00106283" w:rsidP="00C2361F">
            <w:pPr>
              <w:pStyle w:val="Table"/>
            </w:pPr>
            <w:r w:rsidRPr="005E76D2">
              <w:t xml:space="preserve">Completed </w:t>
            </w:r>
            <w:r>
              <w:t xml:space="preserve">where a taxpayer becomes an Australian resident for tax purposes part way through the year, or the taxpayer stops being an Australian resident part way through the income year which will affect the amount of the tax free threshold available to the client for that year.   </w:t>
            </w:r>
          </w:p>
        </w:tc>
        <w:tc>
          <w:tcPr>
            <w:tcW w:w="1048" w:type="dxa"/>
          </w:tcPr>
          <w:p w14:paraId="38C4E5CE" w14:textId="77777777" w:rsidR="00106283" w:rsidRPr="005E76D2" w:rsidRDefault="00106283" w:rsidP="00C2361F">
            <w:pPr>
              <w:pStyle w:val="Table"/>
              <w:jc w:val="center"/>
            </w:pPr>
          </w:p>
        </w:tc>
        <w:tc>
          <w:tcPr>
            <w:tcW w:w="1050" w:type="dxa"/>
          </w:tcPr>
          <w:p w14:paraId="74B0E387" w14:textId="77777777" w:rsidR="00106283" w:rsidRPr="005E76D2" w:rsidRDefault="00106283" w:rsidP="00C2361F">
            <w:pPr>
              <w:pStyle w:val="Table"/>
              <w:jc w:val="center"/>
            </w:pPr>
          </w:p>
        </w:tc>
        <w:tc>
          <w:tcPr>
            <w:tcW w:w="1226" w:type="dxa"/>
          </w:tcPr>
          <w:p w14:paraId="4115AE20" w14:textId="77777777" w:rsidR="00106283" w:rsidRPr="005E76D2" w:rsidRDefault="00106283" w:rsidP="00C2361F">
            <w:pPr>
              <w:pStyle w:val="Table"/>
              <w:jc w:val="center"/>
            </w:pPr>
          </w:p>
        </w:tc>
      </w:tr>
    </w:tbl>
    <w:p w14:paraId="72728C28" w14:textId="77777777" w:rsidR="0031122F" w:rsidRDefault="0031122F">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FE0874" w:rsidRPr="006F61C9" w14:paraId="6D28A267" w14:textId="77777777" w:rsidTr="00065325">
        <w:tc>
          <w:tcPr>
            <w:tcW w:w="1242" w:type="dxa"/>
            <w:shd w:val="clear" w:color="auto" w:fill="051C3C"/>
          </w:tcPr>
          <w:p w14:paraId="14DA6E23" w14:textId="6DFBDDA2" w:rsidR="00FE0874" w:rsidRPr="006F61C9" w:rsidRDefault="00FE0874" w:rsidP="00D11C6A">
            <w:pPr>
              <w:pStyle w:val="Table"/>
              <w:rPr>
                <w:b/>
              </w:rPr>
            </w:pPr>
            <w:r w:rsidRPr="006F61C9">
              <w:rPr>
                <w:b/>
              </w:rPr>
              <w:t>Tax Return Reference</w:t>
            </w:r>
          </w:p>
        </w:tc>
        <w:tc>
          <w:tcPr>
            <w:tcW w:w="5753" w:type="dxa"/>
            <w:gridSpan w:val="2"/>
            <w:shd w:val="clear" w:color="auto" w:fill="051C3C"/>
          </w:tcPr>
          <w:p w14:paraId="1ABFF1EF" w14:textId="77777777" w:rsidR="00FE0874" w:rsidRPr="006F61C9" w:rsidRDefault="00FE0874" w:rsidP="00D11C6A">
            <w:pPr>
              <w:pStyle w:val="Table"/>
              <w:rPr>
                <w:b/>
              </w:rPr>
            </w:pPr>
            <w:r w:rsidRPr="006F61C9">
              <w:rPr>
                <w:b/>
              </w:rPr>
              <w:t>Section of the Income Tax Return</w:t>
            </w:r>
          </w:p>
        </w:tc>
        <w:tc>
          <w:tcPr>
            <w:tcW w:w="1051" w:type="dxa"/>
            <w:gridSpan w:val="2"/>
            <w:shd w:val="clear" w:color="auto" w:fill="051C3C"/>
          </w:tcPr>
          <w:p w14:paraId="50B120A9" w14:textId="77777777" w:rsidR="00FE0874" w:rsidRPr="006F61C9" w:rsidRDefault="00FE0874" w:rsidP="00D11C6A">
            <w:pPr>
              <w:pStyle w:val="Table"/>
              <w:jc w:val="center"/>
              <w:rPr>
                <w:b/>
              </w:rPr>
            </w:pPr>
            <w:r w:rsidRPr="006F61C9">
              <w:rPr>
                <w:b/>
              </w:rPr>
              <w:t>Column 1</w:t>
            </w:r>
          </w:p>
          <w:p w14:paraId="363ECE22" w14:textId="77777777" w:rsidR="00FE0874" w:rsidRPr="006F61C9" w:rsidRDefault="00FE0874" w:rsidP="00D11C6A">
            <w:pPr>
              <w:pStyle w:val="Table"/>
              <w:jc w:val="center"/>
              <w:rPr>
                <w:b/>
              </w:rPr>
            </w:pPr>
            <w:r w:rsidRPr="006F61C9">
              <w:rPr>
                <w:b/>
              </w:rPr>
              <w:t>(A) (S) (N/A)</w:t>
            </w:r>
          </w:p>
        </w:tc>
        <w:tc>
          <w:tcPr>
            <w:tcW w:w="1049" w:type="dxa"/>
            <w:gridSpan w:val="2"/>
            <w:shd w:val="clear" w:color="auto" w:fill="051C3C"/>
          </w:tcPr>
          <w:p w14:paraId="2276C6EB" w14:textId="77777777" w:rsidR="00FE0874" w:rsidRPr="006F61C9" w:rsidRDefault="00FE0874" w:rsidP="00D11C6A">
            <w:pPr>
              <w:pStyle w:val="Table"/>
              <w:jc w:val="center"/>
              <w:rPr>
                <w:b/>
              </w:rPr>
            </w:pPr>
            <w:r w:rsidRPr="006F61C9">
              <w:rPr>
                <w:b/>
              </w:rPr>
              <w:t>Column 2</w:t>
            </w:r>
          </w:p>
          <w:p w14:paraId="41B9F3AC" w14:textId="77777777" w:rsidR="00FE0874" w:rsidRPr="006F61C9" w:rsidRDefault="00FE0874" w:rsidP="00D11C6A">
            <w:pPr>
              <w:pStyle w:val="Table"/>
              <w:jc w:val="center"/>
              <w:rPr>
                <w:b/>
              </w:rPr>
            </w:pPr>
            <w:r w:rsidRPr="006F61C9">
              <w:rPr>
                <w:b/>
              </w:rPr>
              <w:t>WP</w:t>
            </w:r>
          </w:p>
          <w:p w14:paraId="15C5E035" w14:textId="77777777" w:rsidR="00FE0874" w:rsidRPr="006F61C9" w:rsidRDefault="00FE0874" w:rsidP="00D11C6A">
            <w:pPr>
              <w:pStyle w:val="Table"/>
              <w:jc w:val="center"/>
              <w:rPr>
                <w:b/>
              </w:rPr>
            </w:pPr>
            <w:r w:rsidRPr="006F61C9">
              <w:rPr>
                <w:b/>
              </w:rPr>
              <w:t>(Y or N)</w:t>
            </w:r>
          </w:p>
        </w:tc>
        <w:tc>
          <w:tcPr>
            <w:tcW w:w="1208" w:type="dxa"/>
            <w:shd w:val="clear" w:color="auto" w:fill="051C3C"/>
          </w:tcPr>
          <w:p w14:paraId="6337191C" w14:textId="77777777" w:rsidR="00FE0874" w:rsidRPr="006F61C9" w:rsidRDefault="00FE0874" w:rsidP="00D11C6A">
            <w:pPr>
              <w:pStyle w:val="Table"/>
              <w:jc w:val="center"/>
              <w:rPr>
                <w:b/>
              </w:rPr>
            </w:pPr>
            <w:r w:rsidRPr="006F61C9">
              <w:rPr>
                <w:b/>
              </w:rPr>
              <w:t>Column 3</w:t>
            </w:r>
          </w:p>
          <w:p w14:paraId="53CB286E" w14:textId="77777777" w:rsidR="00FE0874" w:rsidRPr="006F61C9" w:rsidRDefault="00FE0874" w:rsidP="00D11C6A">
            <w:pPr>
              <w:pStyle w:val="Table"/>
              <w:jc w:val="center"/>
              <w:rPr>
                <w:b/>
              </w:rPr>
            </w:pPr>
            <w:r w:rsidRPr="006F61C9">
              <w:rPr>
                <w:b/>
              </w:rPr>
              <w:t>Attachment</w:t>
            </w:r>
          </w:p>
          <w:p w14:paraId="33DAD4F6" w14:textId="77777777" w:rsidR="00FE0874" w:rsidRPr="006F61C9" w:rsidRDefault="00FE0874" w:rsidP="00D11C6A">
            <w:pPr>
              <w:pStyle w:val="Table"/>
              <w:jc w:val="center"/>
              <w:rPr>
                <w:b/>
              </w:rPr>
            </w:pPr>
            <w:r w:rsidRPr="006F61C9">
              <w:rPr>
                <w:b/>
              </w:rPr>
              <w:t>(Y or N)</w:t>
            </w:r>
          </w:p>
        </w:tc>
      </w:tr>
      <w:tr w:rsidR="009B7367" w:rsidRPr="005E76D2" w14:paraId="3D85C0C1" w14:textId="77777777" w:rsidTr="00106283">
        <w:tc>
          <w:tcPr>
            <w:tcW w:w="10303" w:type="dxa"/>
            <w:gridSpan w:val="8"/>
            <w:tcBorders>
              <w:top w:val="single" w:sz="4" w:space="0" w:color="939598"/>
              <w:bottom w:val="single" w:sz="4" w:space="0" w:color="939598"/>
            </w:tcBorders>
            <w:shd w:val="clear" w:color="auto" w:fill="D9D9D9" w:themeFill="background1" w:themeFillShade="D9"/>
            <w:vAlign w:val="center"/>
          </w:tcPr>
          <w:p w14:paraId="4AEB3CBB" w14:textId="553B58BE" w:rsidR="009B7367" w:rsidRPr="00AF24CF" w:rsidRDefault="009B7367" w:rsidP="009B7367">
            <w:pPr>
              <w:pStyle w:val="Tableheading"/>
            </w:pPr>
            <w:r w:rsidRPr="00BC518C">
              <w:t xml:space="preserve">Adjustments </w:t>
            </w:r>
            <w:r w:rsidRPr="009B7367">
              <w:rPr>
                <w:b w:val="0"/>
              </w:rPr>
              <w:t>(continued)</w:t>
            </w:r>
          </w:p>
        </w:tc>
      </w:tr>
      <w:tr w:rsidR="00463F03" w:rsidRPr="005E76D2" w14:paraId="274FCDBC" w14:textId="77777777" w:rsidTr="00106283">
        <w:tc>
          <w:tcPr>
            <w:tcW w:w="1242" w:type="dxa"/>
            <w:tcBorders>
              <w:bottom w:val="single" w:sz="4" w:space="0" w:color="939598"/>
            </w:tcBorders>
          </w:tcPr>
          <w:p w14:paraId="1D042291" w14:textId="4A005EC9" w:rsidR="00463F03" w:rsidRDefault="00463F03" w:rsidP="009B7367">
            <w:pPr>
              <w:pStyle w:val="Table"/>
            </w:pPr>
            <w:r w:rsidRPr="005E76D2">
              <w:t>A3</w:t>
            </w:r>
          </w:p>
        </w:tc>
        <w:tc>
          <w:tcPr>
            <w:tcW w:w="5737" w:type="dxa"/>
            <w:tcBorders>
              <w:bottom w:val="single" w:sz="4" w:space="0" w:color="939598"/>
            </w:tcBorders>
          </w:tcPr>
          <w:p w14:paraId="0B4130FF" w14:textId="77777777" w:rsidR="00463F03" w:rsidRPr="005E76D2" w:rsidRDefault="00463F03" w:rsidP="008D5BFD">
            <w:pPr>
              <w:pStyle w:val="Table"/>
              <w:rPr>
                <w:b/>
              </w:rPr>
            </w:pPr>
            <w:r>
              <w:rPr>
                <w:b/>
              </w:rPr>
              <w:t>Government s</w:t>
            </w:r>
            <w:r w:rsidRPr="005E76D2">
              <w:rPr>
                <w:b/>
              </w:rPr>
              <w:t>uper contribution</w:t>
            </w:r>
            <w:r>
              <w:rPr>
                <w:b/>
              </w:rPr>
              <w:t>s</w:t>
            </w:r>
          </w:p>
          <w:p w14:paraId="42AED3C4" w14:textId="5F01504C" w:rsidR="00463F03" w:rsidRDefault="00463F03" w:rsidP="008D5BFD">
            <w:pPr>
              <w:pStyle w:val="Table"/>
              <w:rPr>
                <w:b/>
              </w:rPr>
            </w:pPr>
            <w:r>
              <w:t>Concerns eligibility for the superannuation co-contribution payment or the low-income superannuation contribution.</w:t>
            </w:r>
          </w:p>
        </w:tc>
        <w:tc>
          <w:tcPr>
            <w:tcW w:w="1048" w:type="dxa"/>
            <w:gridSpan w:val="2"/>
          </w:tcPr>
          <w:p w14:paraId="47FEDDCB" w14:textId="77777777" w:rsidR="00463F03" w:rsidRPr="005E76D2" w:rsidRDefault="00463F03" w:rsidP="009B7367">
            <w:pPr>
              <w:pStyle w:val="Table"/>
              <w:jc w:val="center"/>
            </w:pPr>
          </w:p>
        </w:tc>
        <w:tc>
          <w:tcPr>
            <w:tcW w:w="1050" w:type="dxa"/>
            <w:gridSpan w:val="2"/>
          </w:tcPr>
          <w:p w14:paraId="178F9B8D" w14:textId="77777777" w:rsidR="00463F03" w:rsidRPr="005E76D2" w:rsidRDefault="00463F03" w:rsidP="009B7367">
            <w:pPr>
              <w:pStyle w:val="Table"/>
              <w:jc w:val="center"/>
            </w:pPr>
          </w:p>
        </w:tc>
        <w:tc>
          <w:tcPr>
            <w:tcW w:w="1226" w:type="dxa"/>
            <w:gridSpan w:val="2"/>
          </w:tcPr>
          <w:p w14:paraId="7B4F2BCA" w14:textId="77777777" w:rsidR="00463F03" w:rsidRPr="005E76D2" w:rsidRDefault="00463F03" w:rsidP="009B7367">
            <w:pPr>
              <w:pStyle w:val="Table"/>
              <w:jc w:val="center"/>
            </w:pPr>
          </w:p>
        </w:tc>
      </w:tr>
      <w:tr w:rsidR="00463F03" w:rsidRPr="005E76D2" w14:paraId="423DCE5B" w14:textId="77777777" w:rsidTr="00106283">
        <w:tc>
          <w:tcPr>
            <w:tcW w:w="1242" w:type="dxa"/>
            <w:tcBorders>
              <w:bottom w:val="single" w:sz="4" w:space="0" w:color="939598"/>
            </w:tcBorders>
          </w:tcPr>
          <w:p w14:paraId="2D2E8D12" w14:textId="7A0026BA" w:rsidR="00463F03" w:rsidRPr="005E76D2" w:rsidRDefault="00463F03" w:rsidP="009B7367">
            <w:pPr>
              <w:pStyle w:val="Table"/>
            </w:pPr>
            <w:r>
              <w:t>A4</w:t>
            </w:r>
          </w:p>
        </w:tc>
        <w:tc>
          <w:tcPr>
            <w:tcW w:w="5737" w:type="dxa"/>
            <w:tcBorders>
              <w:bottom w:val="single" w:sz="4" w:space="0" w:color="939598"/>
            </w:tcBorders>
          </w:tcPr>
          <w:p w14:paraId="72DAB111" w14:textId="77777777" w:rsidR="00463F03" w:rsidRPr="005E76D2" w:rsidRDefault="00463F03" w:rsidP="008D5BFD">
            <w:pPr>
              <w:pStyle w:val="Table"/>
              <w:rPr>
                <w:b/>
              </w:rPr>
            </w:pPr>
            <w:r>
              <w:rPr>
                <w:b/>
              </w:rPr>
              <w:t>Working holiday maker net income</w:t>
            </w:r>
          </w:p>
          <w:p w14:paraId="4AC7D0FC" w14:textId="77777777" w:rsidR="00463F03" w:rsidRDefault="00463F03" w:rsidP="008D5BFD">
            <w:pPr>
              <w:pStyle w:val="Table"/>
            </w:pPr>
            <w:r>
              <w:t xml:space="preserve">Check whether the client was on a 417 or 462 working holiday visa between 1 January 2017 and 30 June 2017. Where this is the case the client needs to calculate any working holiday net income for this period. Such income will be taxed at 15% up to $37,000 and all other income will be taxed according to the client’s residency status. </w:t>
            </w:r>
          </w:p>
          <w:p w14:paraId="6DE6B02C" w14:textId="6EA93E78" w:rsidR="00463F03" w:rsidRPr="005E76D2" w:rsidRDefault="00463F03" w:rsidP="009B7367">
            <w:pPr>
              <w:pStyle w:val="Table"/>
              <w:rPr>
                <w:b/>
              </w:rPr>
            </w:pPr>
            <w:r w:rsidRPr="00A05976">
              <w:rPr>
                <w:b/>
                <w:sz w:val="14"/>
                <w:szCs w:val="14"/>
              </w:rPr>
              <w:t>Note</w:t>
            </w:r>
            <w:r w:rsidRPr="00A05976">
              <w:rPr>
                <w:sz w:val="14"/>
                <w:szCs w:val="14"/>
              </w:rPr>
              <w:t xml:space="preserve">: </w:t>
            </w:r>
            <w:r>
              <w:rPr>
                <w:sz w:val="14"/>
                <w:szCs w:val="14"/>
              </w:rPr>
              <w:t xml:space="preserve">further details on these rules is available on the </w:t>
            </w:r>
            <w:hyperlink r:id="rId21" w:history="1">
              <w:r w:rsidRPr="0031122F">
                <w:rPr>
                  <w:rStyle w:val="Hyperlink"/>
                  <w:sz w:val="14"/>
                  <w:szCs w:val="14"/>
                </w:rPr>
                <w:t>ATO website</w:t>
              </w:r>
            </w:hyperlink>
            <w:r>
              <w:rPr>
                <w:sz w:val="14"/>
                <w:szCs w:val="14"/>
              </w:rPr>
              <w:t>.</w:t>
            </w:r>
          </w:p>
        </w:tc>
        <w:tc>
          <w:tcPr>
            <w:tcW w:w="1048" w:type="dxa"/>
            <w:gridSpan w:val="2"/>
          </w:tcPr>
          <w:p w14:paraId="46017082" w14:textId="77777777" w:rsidR="00463F03" w:rsidRPr="005E76D2" w:rsidRDefault="00463F03" w:rsidP="009B7367">
            <w:pPr>
              <w:pStyle w:val="Table"/>
              <w:jc w:val="center"/>
            </w:pPr>
          </w:p>
        </w:tc>
        <w:tc>
          <w:tcPr>
            <w:tcW w:w="1050" w:type="dxa"/>
            <w:gridSpan w:val="2"/>
          </w:tcPr>
          <w:p w14:paraId="4046140D" w14:textId="77777777" w:rsidR="00463F03" w:rsidRPr="005E76D2" w:rsidRDefault="00463F03" w:rsidP="009B7367">
            <w:pPr>
              <w:pStyle w:val="Table"/>
              <w:jc w:val="center"/>
            </w:pPr>
          </w:p>
        </w:tc>
        <w:tc>
          <w:tcPr>
            <w:tcW w:w="1226" w:type="dxa"/>
            <w:gridSpan w:val="2"/>
          </w:tcPr>
          <w:p w14:paraId="5B7C14FB" w14:textId="77777777" w:rsidR="00463F03" w:rsidRPr="005E76D2" w:rsidRDefault="00463F03" w:rsidP="009B7367">
            <w:pPr>
              <w:pStyle w:val="Table"/>
              <w:jc w:val="center"/>
            </w:pPr>
          </w:p>
        </w:tc>
      </w:tr>
      <w:tr w:rsidR="00463F03" w:rsidRPr="005E76D2" w14:paraId="406A89FF" w14:textId="77777777" w:rsidTr="00106283">
        <w:tc>
          <w:tcPr>
            <w:tcW w:w="1242" w:type="dxa"/>
            <w:tcBorders>
              <w:bottom w:val="single" w:sz="4" w:space="0" w:color="939598"/>
            </w:tcBorders>
          </w:tcPr>
          <w:p w14:paraId="7ABB81D0" w14:textId="6DCE6326" w:rsidR="00463F03" w:rsidRPr="005E76D2" w:rsidRDefault="00463F03" w:rsidP="009B7367">
            <w:pPr>
              <w:pStyle w:val="Table"/>
            </w:pPr>
            <w:r w:rsidRPr="005E76D2">
              <w:t>A</w:t>
            </w:r>
            <w:r>
              <w:t>5</w:t>
            </w:r>
          </w:p>
        </w:tc>
        <w:tc>
          <w:tcPr>
            <w:tcW w:w="5737" w:type="dxa"/>
            <w:tcBorders>
              <w:bottom w:val="single" w:sz="4" w:space="0" w:color="939598"/>
            </w:tcBorders>
          </w:tcPr>
          <w:p w14:paraId="21BE95AD" w14:textId="77777777" w:rsidR="00463F03" w:rsidRPr="005E76D2" w:rsidRDefault="00463F03" w:rsidP="008D5BFD">
            <w:pPr>
              <w:pStyle w:val="Table"/>
              <w:rPr>
                <w:b/>
              </w:rPr>
            </w:pPr>
            <w:r w:rsidRPr="005E76D2">
              <w:rPr>
                <w:b/>
              </w:rPr>
              <w:t>Amount on which family tax distribution tax has been paid</w:t>
            </w:r>
          </w:p>
          <w:p w14:paraId="066FFE6E" w14:textId="2780E4D7" w:rsidR="00463F03" w:rsidRPr="005E76D2" w:rsidRDefault="00463F03" w:rsidP="009B7367">
            <w:pPr>
              <w:pStyle w:val="Table"/>
              <w:rPr>
                <w:b/>
              </w:rPr>
            </w:pPr>
            <w:r w:rsidRPr="005E76D2">
              <w:t xml:space="preserve">Relevant where a trust, company or partnership within a ‘family group’ has </w:t>
            </w:r>
            <w:r>
              <w:t xml:space="preserve">made a </w:t>
            </w:r>
            <w:r w:rsidRPr="005E76D2">
              <w:t>distribut</w:t>
            </w:r>
            <w:r>
              <w:t>ion</w:t>
            </w:r>
            <w:r w:rsidRPr="005E76D2">
              <w:t xml:space="preserve"> to an entity outside the family group</w:t>
            </w:r>
            <w:r>
              <w:t xml:space="preserve"> which has been subject to family trust distribution tax</w:t>
            </w:r>
            <w:r w:rsidRPr="005E76D2">
              <w:t>.</w:t>
            </w:r>
            <w:r>
              <w:t xml:space="preserve"> Such an amount needs to be reduced by any related deductions and the net amount is included at this Item to determine liability for the Medicare Levy Surcharge.  </w:t>
            </w:r>
          </w:p>
        </w:tc>
        <w:tc>
          <w:tcPr>
            <w:tcW w:w="1048" w:type="dxa"/>
            <w:gridSpan w:val="2"/>
          </w:tcPr>
          <w:p w14:paraId="11806ACD" w14:textId="77777777" w:rsidR="00463F03" w:rsidRPr="005E76D2" w:rsidRDefault="00463F03" w:rsidP="009B7367">
            <w:pPr>
              <w:pStyle w:val="Table"/>
              <w:jc w:val="center"/>
            </w:pPr>
          </w:p>
        </w:tc>
        <w:tc>
          <w:tcPr>
            <w:tcW w:w="1050" w:type="dxa"/>
            <w:gridSpan w:val="2"/>
          </w:tcPr>
          <w:p w14:paraId="068DEDBA" w14:textId="77777777" w:rsidR="00463F03" w:rsidRPr="005E76D2" w:rsidRDefault="00463F03" w:rsidP="009B7367">
            <w:pPr>
              <w:pStyle w:val="Table"/>
              <w:jc w:val="center"/>
            </w:pPr>
          </w:p>
        </w:tc>
        <w:tc>
          <w:tcPr>
            <w:tcW w:w="1226" w:type="dxa"/>
            <w:gridSpan w:val="2"/>
          </w:tcPr>
          <w:p w14:paraId="0DE5B557" w14:textId="77777777" w:rsidR="00463F03" w:rsidRPr="005E76D2" w:rsidRDefault="00463F03" w:rsidP="009B7367">
            <w:pPr>
              <w:pStyle w:val="Table"/>
              <w:jc w:val="center"/>
            </w:pPr>
          </w:p>
        </w:tc>
      </w:tr>
      <w:tr w:rsidR="00463F03" w:rsidRPr="005E76D2" w14:paraId="159B75BC" w14:textId="77777777" w:rsidTr="00106283">
        <w:tc>
          <w:tcPr>
            <w:tcW w:w="1242" w:type="dxa"/>
            <w:tcBorders>
              <w:bottom w:val="single" w:sz="4" w:space="0" w:color="939598"/>
            </w:tcBorders>
          </w:tcPr>
          <w:p w14:paraId="719321E1" w14:textId="31303123" w:rsidR="00463F03" w:rsidRPr="005E76D2" w:rsidRDefault="00463F03" w:rsidP="009B7367">
            <w:pPr>
              <w:pStyle w:val="Table"/>
            </w:pPr>
            <w:r w:rsidRPr="005E76D2">
              <w:t>C1</w:t>
            </w:r>
          </w:p>
        </w:tc>
        <w:tc>
          <w:tcPr>
            <w:tcW w:w="5737" w:type="dxa"/>
            <w:tcBorders>
              <w:bottom w:val="single" w:sz="4" w:space="0" w:color="939598"/>
            </w:tcBorders>
          </w:tcPr>
          <w:p w14:paraId="20D9DAB1" w14:textId="77777777" w:rsidR="00463F03" w:rsidRPr="005E76D2" w:rsidRDefault="00463F03" w:rsidP="009B7367">
            <w:pPr>
              <w:pStyle w:val="Table"/>
              <w:rPr>
                <w:b/>
              </w:rPr>
            </w:pPr>
            <w:r w:rsidRPr="005E76D2">
              <w:rPr>
                <w:b/>
              </w:rPr>
              <w:t>Credit for interest on tax paid</w:t>
            </w:r>
          </w:p>
          <w:p w14:paraId="3487AB93" w14:textId="60A77D02" w:rsidR="00463F03" w:rsidRPr="005E76D2" w:rsidRDefault="00463F03" w:rsidP="009B7367">
            <w:pPr>
              <w:pStyle w:val="Table"/>
              <w:rPr>
                <w:b/>
              </w:rPr>
            </w:pPr>
            <w:r w:rsidRPr="005E76D2">
              <w:t xml:space="preserve">Credit for interest on early payments </w:t>
            </w:r>
            <w:r>
              <w:t xml:space="preserve">of tax </w:t>
            </w:r>
            <w:r w:rsidRPr="005E76D2">
              <w:t>– amount of interest.</w:t>
            </w:r>
          </w:p>
        </w:tc>
        <w:tc>
          <w:tcPr>
            <w:tcW w:w="1048" w:type="dxa"/>
            <w:gridSpan w:val="2"/>
          </w:tcPr>
          <w:p w14:paraId="53CE038A" w14:textId="77777777" w:rsidR="00463F03" w:rsidRPr="005E76D2" w:rsidRDefault="00463F03" w:rsidP="009B7367">
            <w:pPr>
              <w:pStyle w:val="Table"/>
              <w:jc w:val="center"/>
            </w:pPr>
          </w:p>
        </w:tc>
        <w:tc>
          <w:tcPr>
            <w:tcW w:w="1050" w:type="dxa"/>
            <w:gridSpan w:val="2"/>
          </w:tcPr>
          <w:p w14:paraId="216A9682" w14:textId="77777777" w:rsidR="00463F03" w:rsidRPr="005E76D2" w:rsidRDefault="00463F03" w:rsidP="009B7367">
            <w:pPr>
              <w:pStyle w:val="Table"/>
              <w:jc w:val="center"/>
            </w:pPr>
          </w:p>
        </w:tc>
        <w:tc>
          <w:tcPr>
            <w:tcW w:w="1226" w:type="dxa"/>
            <w:gridSpan w:val="2"/>
          </w:tcPr>
          <w:p w14:paraId="111CB6BF" w14:textId="77777777" w:rsidR="00463F03" w:rsidRPr="005E76D2" w:rsidRDefault="00463F03" w:rsidP="009B7367">
            <w:pPr>
              <w:pStyle w:val="Table"/>
              <w:jc w:val="center"/>
            </w:pPr>
          </w:p>
        </w:tc>
      </w:tr>
      <w:tr w:rsidR="00463F03" w:rsidRPr="005E76D2" w14:paraId="5E9A0D75" w14:textId="77777777" w:rsidTr="00106283">
        <w:tc>
          <w:tcPr>
            <w:tcW w:w="10303" w:type="dxa"/>
            <w:gridSpan w:val="8"/>
            <w:shd w:val="clear" w:color="auto" w:fill="D9D9D9" w:themeFill="background1" w:themeFillShade="D9"/>
            <w:vAlign w:val="center"/>
          </w:tcPr>
          <w:p w14:paraId="496FBC5D" w14:textId="319C66F7" w:rsidR="00463F03" w:rsidRPr="007A1C14" w:rsidRDefault="00463F03" w:rsidP="007A1C14">
            <w:pPr>
              <w:pStyle w:val="Table"/>
              <w:spacing w:before="100" w:after="100"/>
              <w:rPr>
                <w:b/>
              </w:rPr>
            </w:pPr>
            <w:r w:rsidRPr="007A1C14">
              <w:rPr>
                <w:b/>
              </w:rPr>
              <w:t>Income Tests</w:t>
            </w:r>
          </w:p>
        </w:tc>
      </w:tr>
      <w:tr w:rsidR="00463F03" w:rsidRPr="005E76D2" w14:paraId="73BFDF29" w14:textId="77777777" w:rsidTr="00F17C65">
        <w:tc>
          <w:tcPr>
            <w:tcW w:w="1242" w:type="dxa"/>
          </w:tcPr>
          <w:p w14:paraId="50400512" w14:textId="07F170A5" w:rsidR="00463F03" w:rsidRPr="005E76D2" w:rsidRDefault="00463F03" w:rsidP="009B7367">
            <w:pPr>
              <w:pStyle w:val="Table"/>
            </w:pPr>
            <w:r w:rsidRPr="005E76D2">
              <w:t>IT1</w:t>
            </w:r>
          </w:p>
        </w:tc>
        <w:tc>
          <w:tcPr>
            <w:tcW w:w="5737" w:type="dxa"/>
          </w:tcPr>
          <w:p w14:paraId="547B0E22" w14:textId="77777777" w:rsidR="00463F03" w:rsidRPr="005E76D2" w:rsidRDefault="00463F03" w:rsidP="009B7367">
            <w:pPr>
              <w:pStyle w:val="Table"/>
              <w:rPr>
                <w:b/>
              </w:rPr>
            </w:pPr>
            <w:r w:rsidRPr="005E76D2">
              <w:rPr>
                <w:b/>
              </w:rPr>
              <w:t>Total reportable fringe benefits amount</w:t>
            </w:r>
          </w:p>
          <w:p w14:paraId="4B65812C" w14:textId="00AC1944" w:rsidR="00463F03" w:rsidRDefault="00463F03" w:rsidP="009B7367">
            <w:pPr>
              <w:pStyle w:val="Table"/>
            </w:pPr>
            <w:r w:rsidRPr="005E76D2">
              <w:t>Disclose if the reportable fringe benefits amount that you have received is $</w:t>
            </w:r>
            <w:r>
              <w:t>3,921 (grossed up value)</w:t>
            </w:r>
            <w:r w:rsidRPr="005E76D2">
              <w:t xml:space="preserve"> or more.</w:t>
            </w:r>
          </w:p>
          <w:p w14:paraId="430F5EA7" w14:textId="7E445C8D" w:rsidR="00463F03" w:rsidRPr="005E76D2" w:rsidRDefault="00463F03" w:rsidP="009B7367">
            <w:pPr>
              <w:pStyle w:val="Table"/>
              <w:rPr>
                <w:b/>
              </w:rPr>
            </w:pPr>
            <w:r w:rsidRPr="001F09B3">
              <w:rPr>
                <w:b/>
                <w:sz w:val="14"/>
                <w:szCs w:val="14"/>
              </w:rPr>
              <w:t>Note:</w:t>
            </w:r>
            <w:r w:rsidRPr="001F09B3">
              <w:rPr>
                <w:sz w:val="14"/>
                <w:szCs w:val="14"/>
              </w:rPr>
              <w:t xml:space="preserve"> This </w:t>
            </w:r>
            <w:r>
              <w:rPr>
                <w:sz w:val="14"/>
                <w:szCs w:val="14"/>
              </w:rPr>
              <w:t xml:space="preserve">amount </w:t>
            </w:r>
            <w:r w:rsidRPr="001F09B3">
              <w:rPr>
                <w:sz w:val="14"/>
                <w:szCs w:val="14"/>
              </w:rPr>
              <w:t>will appear on the payment summary.</w:t>
            </w:r>
          </w:p>
        </w:tc>
        <w:tc>
          <w:tcPr>
            <w:tcW w:w="1048" w:type="dxa"/>
            <w:gridSpan w:val="2"/>
          </w:tcPr>
          <w:p w14:paraId="3FAF01B6" w14:textId="77777777" w:rsidR="00463F03" w:rsidRPr="005E76D2" w:rsidRDefault="00463F03" w:rsidP="009B7367">
            <w:pPr>
              <w:pStyle w:val="Table"/>
              <w:jc w:val="center"/>
            </w:pPr>
          </w:p>
        </w:tc>
        <w:tc>
          <w:tcPr>
            <w:tcW w:w="1050" w:type="dxa"/>
            <w:gridSpan w:val="2"/>
          </w:tcPr>
          <w:p w14:paraId="37E1832D" w14:textId="77777777" w:rsidR="00463F03" w:rsidRPr="005E76D2" w:rsidRDefault="00463F03" w:rsidP="009B7367">
            <w:pPr>
              <w:pStyle w:val="Table"/>
              <w:jc w:val="center"/>
            </w:pPr>
          </w:p>
        </w:tc>
        <w:tc>
          <w:tcPr>
            <w:tcW w:w="1226" w:type="dxa"/>
            <w:gridSpan w:val="2"/>
          </w:tcPr>
          <w:p w14:paraId="617229F1" w14:textId="77777777" w:rsidR="00463F03" w:rsidRPr="005E76D2" w:rsidRDefault="00463F03" w:rsidP="009B7367">
            <w:pPr>
              <w:pStyle w:val="Table"/>
              <w:jc w:val="center"/>
            </w:pPr>
          </w:p>
        </w:tc>
      </w:tr>
      <w:tr w:rsidR="00463F03" w:rsidRPr="005E76D2" w14:paraId="3BD831D9" w14:textId="77777777" w:rsidTr="00F17C65">
        <w:tc>
          <w:tcPr>
            <w:tcW w:w="1242" w:type="dxa"/>
          </w:tcPr>
          <w:p w14:paraId="326E4FA1" w14:textId="3AA87F60" w:rsidR="00463F03" w:rsidRPr="005E76D2" w:rsidRDefault="00463F03" w:rsidP="009B7367">
            <w:pPr>
              <w:pStyle w:val="Table"/>
            </w:pPr>
            <w:r w:rsidRPr="005E76D2">
              <w:t>IT2</w:t>
            </w:r>
          </w:p>
        </w:tc>
        <w:tc>
          <w:tcPr>
            <w:tcW w:w="5737" w:type="dxa"/>
          </w:tcPr>
          <w:p w14:paraId="6D2B6B7A" w14:textId="77777777" w:rsidR="00463F03" w:rsidRPr="005E76D2" w:rsidRDefault="00463F03" w:rsidP="009B7367">
            <w:pPr>
              <w:pStyle w:val="Table"/>
              <w:rPr>
                <w:b/>
              </w:rPr>
            </w:pPr>
            <w:r w:rsidRPr="005E76D2">
              <w:rPr>
                <w:b/>
              </w:rPr>
              <w:t>Reportable employer superannuation contributions</w:t>
            </w:r>
          </w:p>
          <w:p w14:paraId="01860384" w14:textId="593C075D" w:rsidR="00463F03" w:rsidRPr="008B030D" w:rsidRDefault="00463F03" w:rsidP="009B7367">
            <w:pPr>
              <w:pStyle w:val="Table"/>
              <w:rPr>
                <w:sz w:val="16"/>
                <w:szCs w:val="16"/>
              </w:rPr>
            </w:pPr>
            <w:r w:rsidRPr="008B030D">
              <w:rPr>
                <w:sz w:val="16"/>
                <w:szCs w:val="16"/>
              </w:rPr>
              <w:t>Disclose any amount of reportable employer superannuation contributions.</w:t>
            </w:r>
          </w:p>
          <w:p w14:paraId="4CF19E6B" w14:textId="3DBD5E08" w:rsidR="00463F03" w:rsidRPr="005E76D2" w:rsidRDefault="00463F03" w:rsidP="009B7367">
            <w:pPr>
              <w:pStyle w:val="Table"/>
              <w:rPr>
                <w:b/>
              </w:rPr>
            </w:pPr>
            <w:r w:rsidRPr="001F09B3">
              <w:rPr>
                <w:b/>
                <w:sz w:val="14"/>
                <w:szCs w:val="14"/>
              </w:rPr>
              <w:t>Note:</w:t>
            </w:r>
            <w:r>
              <w:rPr>
                <w:sz w:val="14"/>
                <w:szCs w:val="14"/>
              </w:rPr>
              <w:t xml:space="preserve"> t</w:t>
            </w:r>
            <w:r w:rsidRPr="001F09B3">
              <w:rPr>
                <w:sz w:val="14"/>
                <w:szCs w:val="14"/>
              </w:rPr>
              <w:t xml:space="preserve">his </w:t>
            </w:r>
            <w:r>
              <w:rPr>
                <w:sz w:val="14"/>
                <w:szCs w:val="14"/>
              </w:rPr>
              <w:t xml:space="preserve">amount </w:t>
            </w:r>
            <w:r w:rsidRPr="001F09B3">
              <w:rPr>
                <w:sz w:val="14"/>
                <w:szCs w:val="14"/>
              </w:rPr>
              <w:t>will appear on the payment summary.</w:t>
            </w:r>
          </w:p>
        </w:tc>
        <w:tc>
          <w:tcPr>
            <w:tcW w:w="1048" w:type="dxa"/>
            <w:gridSpan w:val="2"/>
          </w:tcPr>
          <w:p w14:paraId="6C573AEC" w14:textId="77777777" w:rsidR="00463F03" w:rsidRPr="005E76D2" w:rsidRDefault="00463F03" w:rsidP="009B7367">
            <w:pPr>
              <w:pStyle w:val="Table"/>
              <w:jc w:val="center"/>
            </w:pPr>
          </w:p>
        </w:tc>
        <w:tc>
          <w:tcPr>
            <w:tcW w:w="1050" w:type="dxa"/>
            <w:gridSpan w:val="2"/>
          </w:tcPr>
          <w:p w14:paraId="697C5795" w14:textId="77777777" w:rsidR="00463F03" w:rsidRPr="005E76D2" w:rsidRDefault="00463F03" w:rsidP="009B7367">
            <w:pPr>
              <w:pStyle w:val="Table"/>
              <w:jc w:val="center"/>
            </w:pPr>
          </w:p>
        </w:tc>
        <w:tc>
          <w:tcPr>
            <w:tcW w:w="1226" w:type="dxa"/>
            <w:gridSpan w:val="2"/>
          </w:tcPr>
          <w:p w14:paraId="6238E5E3" w14:textId="77777777" w:rsidR="00463F03" w:rsidRPr="005E76D2" w:rsidRDefault="00463F03" w:rsidP="009B7367">
            <w:pPr>
              <w:pStyle w:val="Table"/>
              <w:jc w:val="center"/>
            </w:pPr>
          </w:p>
        </w:tc>
      </w:tr>
      <w:tr w:rsidR="00463F03" w:rsidRPr="005E76D2" w14:paraId="4256E3A8" w14:textId="77777777" w:rsidTr="00F17C65">
        <w:tc>
          <w:tcPr>
            <w:tcW w:w="1242" w:type="dxa"/>
          </w:tcPr>
          <w:p w14:paraId="6345874E" w14:textId="3044BF78" w:rsidR="00463F03" w:rsidRPr="005E76D2" w:rsidRDefault="00463F03" w:rsidP="009B7367">
            <w:pPr>
              <w:pStyle w:val="Table"/>
            </w:pPr>
            <w:r w:rsidRPr="005E76D2">
              <w:t>IT3</w:t>
            </w:r>
          </w:p>
        </w:tc>
        <w:tc>
          <w:tcPr>
            <w:tcW w:w="5737" w:type="dxa"/>
          </w:tcPr>
          <w:p w14:paraId="587221E1" w14:textId="77777777" w:rsidR="00463F03" w:rsidRPr="005E76D2" w:rsidRDefault="00463F03" w:rsidP="009B7367">
            <w:pPr>
              <w:pStyle w:val="Table"/>
              <w:rPr>
                <w:b/>
              </w:rPr>
            </w:pPr>
            <w:r w:rsidRPr="005E76D2">
              <w:rPr>
                <w:b/>
              </w:rPr>
              <w:t>Tax-free government pensions</w:t>
            </w:r>
          </w:p>
          <w:p w14:paraId="781F704B" w14:textId="77777777" w:rsidR="00463F03" w:rsidRDefault="00463F03" w:rsidP="009B7367">
            <w:pPr>
              <w:pStyle w:val="Table"/>
            </w:pPr>
            <w:r w:rsidRPr="005E76D2">
              <w:t>Disclose if you have received pensions which you do not need to pay tax on</w:t>
            </w:r>
            <w:r>
              <w:t xml:space="preserve"> (e.g. certain disability support pensions)</w:t>
            </w:r>
          </w:p>
          <w:p w14:paraId="7D64B1A5" w14:textId="0D1F7C2A" w:rsidR="00463F03" w:rsidRPr="005E76D2" w:rsidRDefault="00463F03" w:rsidP="009B7367">
            <w:pPr>
              <w:pStyle w:val="Table"/>
              <w:rPr>
                <w:b/>
              </w:rPr>
            </w:pPr>
            <w:r w:rsidRPr="001F09B3">
              <w:rPr>
                <w:b/>
                <w:sz w:val="14"/>
                <w:szCs w:val="14"/>
              </w:rPr>
              <w:t>Note:</w:t>
            </w:r>
            <w:r w:rsidRPr="001F09B3">
              <w:rPr>
                <w:sz w:val="14"/>
                <w:szCs w:val="14"/>
              </w:rPr>
              <w:t xml:space="preserve"> </w:t>
            </w:r>
            <w:r>
              <w:rPr>
                <w:sz w:val="14"/>
                <w:szCs w:val="14"/>
              </w:rPr>
              <w:t>do not include any amounts treated as assessable income under Items 5 and 6.</w:t>
            </w:r>
          </w:p>
        </w:tc>
        <w:tc>
          <w:tcPr>
            <w:tcW w:w="1048" w:type="dxa"/>
            <w:gridSpan w:val="2"/>
          </w:tcPr>
          <w:p w14:paraId="1AFFFFE1" w14:textId="77777777" w:rsidR="00463F03" w:rsidRPr="005E76D2" w:rsidRDefault="00463F03" w:rsidP="009B7367">
            <w:pPr>
              <w:pStyle w:val="Table"/>
              <w:jc w:val="center"/>
            </w:pPr>
          </w:p>
        </w:tc>
        <w:tc>
          <w:tcPr>
            <w:tcW w:w="1050" w:type="dxa"/>
            <w:gridSpan w:val="2"/>
          </w:tcPr>
          <w:p w14:paraId="6A0814A8" w14:textId="77777777" w:rsidR="00463F03" w:rsidRPr="005E76D2" w:rsidRDefault="00463F03" w:rsidP="009B7367">
            <w:pPr>
              <w:pStyle w:val="Table"/>
              <w:jc w:val="center"/>
            </w:pPr>
          </w:p>
        </w:tc>
        <w:tc>
          <w:tcPr>
            <w:tcW w:w="1226" w:type="dxa"/>
            <w:gridSpan w:val="2"/>
          </w:tcPr>
          <w:p w14:paraId="530D5A88" w14:textId="77777777" w:rsidR="00463F03" w:rsidRPr="005E76D2" w:rsidRDefault="00463F03" w:rsidP="009B7367">
            <w:pPr>
              <w:pStyle w:val="Table"/>
              <w:jc w:val="center"/>
            </w:pPr>
          </w:p>
        </w:tc>
      </w:tr>
      <w:tr w:rsidR="00463F03" w:rsidRPr="005E76D2" w14:paraId="173F3D90" w14:textId="77777777" w:rsidTr="00F17C65">
        <w:tc>
          <w:tcPr>
            <w:tcW w:w="1242" w:type="dxa"/>
          </w:tcPr>
          <w:p w14:paraId="7D9A03C4" w14:textId="38334DF0" w:rsidR="00463F03" w:rsidRPr="005E76D2" w:rsidRDefault="00463F03" w:rsidP="009B7367">
            <w:pPr>
              <w:pStyle w:val="Table"/>
            </w:pPr>
            <w:r w:rsidRPr="005E76D2">
              <w:t>IT4</w:t>
            </w:r>
          </w:p>
        </w:tc>
        <w:tc>
          <w:tcPr>
            <w:tcW w:w="5737" w:type="dxa"/>
          </w:tcPr>
          <w:p w14:paraId="2341C0BD" w14:textId="77777777" w:rsidR="00463F03" w:rsidRPr="005E76D2" w:rsidRDefault="00463F03" w:rsidP="009B7367">
            <w:pPr>
              <w:pStyle w:val="Table"/>
              <w:rPr>
                <w:b/>
              </w:rPr>
            </w:pPr>
            <w:r w:rsidRPr="005E76D2">
              <w:rPr>
                <w:b/>
              </w:rPr>
              <w:t>Target foreign income</w:t>
            </w:r>
          </w:p>
          <w:p w14:paraId="2C8BD041" w14:textId="77777777" w:rsidR="00463F03" w:rsidRPr="005E76D2" w:rsidRDefault="00463F03" w:rsidP="009B7367">
            <w:pPr>
              <w:pStyle w:val="Table"/>
            </w:pPr>
            <w:r w:rsidRPr="005E76D2">
              <w:t xml:space="preserve">Disclose if you have received income from sources outside Australia that is neither part of your taxable income nor </w:t>
            </w:r>
            <w:r>
              <w:t xml:space="preserve">received as </w:t>
            </w:r>
            <w:r w:rsidRPr="005E76D2">
              <w:t>a fringe benefit.</w:t>
            </w:r>
          </w:p>
          <w:p w14:paraId="188F67B9" w14:textId="0AC10CEE" w:rsidR="00463F03" w:rsidRPr="005E76D2" w:rsidRDefault="00463F03" w:rsidP="009B7367">
            <w:pPr>
              <w:pStyle w:val="Table"/>
              <w:rPr>
                <w:b/>
              </w:rPr>
            </w:pPr>
            <w:r w:rsidRPr="00C108A5">
              <w:rPr>
                <w:b/>
                <w:sz w:val="14"/>
                <w:szCs w:val="14"/>
              </w:rPr>
              <w:t>Note</w:t>
            </w:r>
            <w:r w:rsidRPr="00C108A5">
              <w:rPr>
                <w:sz w:val="14"/>
                <w:szCs w:val="14"/>
              </w:rPr>
              <w:t>: show all foreign income in Australian dollars.</w:t>
            </w:r>
          </w:p>
        </w:tc>
        <w:tc>
          <w:tcPr>
            <w:tcW w:w="1048" w:type="dxa"/>
            <w:gridSpan w:val="2"/>
          </w:tcPr>
          <w:p w14:paraId="508ADEE0" w14:textId="77777777" w:rsidR="00463F03" w:rsidRPr="005E76D2" w:rsidRDefault="00463F03" w:rsidP="009B7367">
            <w:pPr>
              <w:pStyle w:val="Table"/>
              <w:jc w:val="center"/>
            </w:pPr>
          </w:p>
        </w:tc>
        <w:tc>
          <w:tcPr>
            <w:tcW w:w="1050" w:type="dxa"/>
            <w:gridSpan w:val="2"/>
          </w:tcPr>
          <w:p w14:paraId="7A9519D4" w14:textId="77777777" w:rsidR="00463F03" w:rsidRPr="005E76D2" w:rsidRDefault="00463F03" w:rsidP="009B7367">
            <w:pPr>
              <w:pStyle w:val="Table"/>
              <w:jc w:val="center"/>
            </w:pPr>
          </w:p>
        </w:tc>
        <w:tc>
          <w:tcPr>
            <w:tcW w:w="1226" w:type="dxa"/>
            <w:gridSpan w:val="2"/>
          </w:tcPr>
          <w:p w14:paraId="450CCDC8" w14:textId="77777777" w:rsidR="00463F03" w:rsidRPr="005E76D2" w:rsidRDefault="00463F03" w:rsidP="009B7367">
            <w:pPr>
              <w:pStyle w:val="Table"/>
              <w:jc w:val="center"/>
            </w:pPr>
          </w:p>
        </w:tc>
      </w:tr>
      <w:tr w:rsidR="00463F03" w:rsidRPr="005E76D2" w14:paraId="216E20B6" w14:textId="77777777" w:rsidTr="00F17C65">
        <w:tc>
          <w:tcPr>
            <w:tcW w:w="1242" w:type="dxa"/>
          </w:tcPr>
          <w:p w14:paraId="4F407864" w14:textId="77777777" w:rsidR="00463F03" w:rsidRDefault="00463F03" w:rsidP="009B7367">
            <w:pPr>
              <w:pStyle w:val="Table"/>
            </w:pPr>
            <w:r w:rsidRPr="005E76D2">
              <w:t>IT5</w:t>
            </w:r>
          </w:p>
        </w:tc>
        <w:tc>
          <w:tcPr>
            <w:tcW w:w="5737" w:type="dxa"/>
          </w:tcPr>
          <w:p w14:paraId="77576AB8" w14:textId="77777777" w:rsidR="00463F03" w:rsidRPr="005E76D2" w:rsidRDefault="00463F03" w:rsidP="009B7367">
            <w:pPr>
              <w:pStyle w:val="Table"/>
              <w:rPr>
                <w:b/>
              </w:rPr>
            </w:pPr>
            <w:r w:rsidRPr="005E76D2">
              <w:rPr>
                <w:b/>
              </w:rPr>
              <w:t>Net financial investment loss</w:t>
            </w:r>
          </w:p>
          <w:p w14:paraId="6FA5FF3D" w14:textId="70BA3563" w:rsidR="00463F03" w:rsidRPr="005E76D2" w:rsidRDefault="00463F03" w:rsidP="009B7367">
            <w:pPr>
              <w:pStyle w:val="Table"/>
            </w:pPr>
            <w:r w:rsidRPr="005E76D2">
              <w:t>Disclose the loss amount by which your financial investment deductions exceeded your financial investment income</w:t>
            </w:r>
            <w:r>
              <w:t xml:space="preserve"> on any particular investment</w:t>
            </w:r>
            <w:r w:rsidRPr="005E76D2">
              <w:t>.</w:t>
            </w:r>
          </w:p>
          <w:p w14:paraId="4E3DC4AA" w14:textId="77777777" w:rsidR="00463F03" w:rsidRPr="00C108A5" w:rsidRDefault="00463F03" w:rsidP="009B7367">
            <w:pPr>
              <w:pStyle w:val="Table"/>
              <w:rPr>
                <w:sz w:val="14"/>
                <w:szCs w:val="14"/>
              </w:rPr>
            </w:pPr>
            <w:r w:rsidRPr="00C108A5">
              <w:rPr>
                <w:b/>
                <w:sz w:val="14"/>
                <w:szCs w:val="14"/>
              </w:rPr>
              <w:t>Note</w:t>
            </w:r>
            <w:r w:rsidRPr="00C108A5">
              <w:rPr>
                <w:sz w:val="14"/>
                <w:szCs w:val="14"/>
              </w:rPr>
              <w:t>: this item is not about capital losses.</w:t>
            </w:r>
          </w:p>
          <w:p w14:paraId="32AE9130" w14:textId="77777777" w:rsidR="00463F03" w:rsidRDefault="00463F03" w:rsidP="009B7367">
            <w:pPr>
              <w:pStyle w:val="Table"/>
              <w:rPr>
                <w:b/>
              </w:rPr>
            </w:pPr>
            <w:r w:rsidRPr="00CB1DDA">
              <w:t>Obtain account statements or other documentation from your financial institution or other sources that show your financial investment income or loss. If you are a partner in a partnership you will need a statement or advice showing the amount of net financial investment income or loss.</w:t>
            </w:r>
          </w:p>
        </w:tc>
        <w:tc>
          <w:tcPr>
            <w:tcW w:w="1048" w:type="dxa"/>
            <w:gridSpan w:val="2"/>
          </w:tcPr>
          <w:p w14:paraId="6E04B9B3" w14:textId="77777777" w:rsidR="00463F03" w:rsidRPr="005E76D2" w:rsidRDefault="00463F03" w:rsidP="009B7367">
            <w:pPr>
              <w:pStyle w:val="Table"/>
              <w:jc w:val="center"/>
            </w:pPr>
          </w:p>
        </w:tc>
        <w:tc>
          <w:tcPr>
            <w:tcW w:w="1050" w:type="dxa"/>
            <w:gridSpan w:val="2"/>
          </w:tcPr>
          <w:p w14:paraId="4654EB02" w14:textId="77777777" w:rsidR="00463F03" w:rsidRPr="005E76D2" w:rsidRDefault="00463F03" w:rsidP="009B7367">
            <w:pPr>
              <w:pStyle w:val="Table"/>
              <w:jc w:val="center"/>
            </w:pPr>
          </w:p>
        </w:tc>
        <w:tc>
          <w:tcPr>
            <w:tcW w:w="1226" w:type="dxa"/>
            <w:gridSpan w:val="2"/>
          </w:tcPr>
          <w:p w14:paraId="42C8839E" w14:textId="77777777" w:rsidR="00463F03" w:rsidRPr="005E76D2" w:rsidRDefault="00463F03" w:rsidP="009B7367">
            <w:pPr>
              <w:pStyle w:val="Table"/>
              <w:jc w:val="center"/>
            </w:pPr>
          </w:p>
        </w:tc>
      </w:tr>
    </w:tbl>
    <w:p w14:paraId="6CB073D8" w14:textId="77777777" w:rsidR="00553177" w:rsidRDefault="00553177">
      <w:r>
        <w:br w:type="page"/>
      </w:r>
    </w:p>
    <w:tbl>
      <w:tblPr>
        <w:tblW w:w="1030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242"/>
        <w:gridCol w:w="5737"/>
        <w:gridCol w:w="16"/>
        <w:gridCol w:w="1032"/>
        <w:gridCol w:w="19"/>
        <w:gridCol w:w="1031"/>
        <w:gridCol w:w="18"/>
        <w:gridCol w:w="1208"/>
      </w:tblGrid>
      <w:tr w:rsidR="00553177" w:rsidRPr="006F61C9" w14:paraId="6E369E25" w14:textId="77777777" w:rsidTr="008D5BFD">
        <w:tc>
          <w:tcPr>
            <w:tcW w:w="1242" w:type="dxa"/>
            <w:shd w:val="clear" w:color="auto" w:fill="051C3C"/>
          </w:tcPr>
          <w:p w14:paraId="058AD4FD" w14:textId="405DE1E9" w:rsidR="00553177" w:rsidRPr="006F61C9" w:rsidRDefault="00553177" w:rsidP="008D5BFD">
            <w:pPr>
              <w:pStyle w:val="Table"/>
              <w:rPr>
                <w:b/>
              </w:rPr>
            </w:pPr>
            <w:r w:rsidRPr="006F61C9">
              <w:rPr>
                <w:b/>
              </w:rPr>
              <w:t>Tax Return Reference</w:t>
            </w:r>
          </w:p>
        </w:tc>
        <w:tc>
          <w:tcPr>
            <w:tcW w:w="5753" w:type="dxa"/>
            <w:gridSpan w:val="2"/>
            <w:shd w:val="clear" w:color="auto" w:fill="051C3C"/>
          </w:tcPr>
          <w:p w14:paraId="3A19A715" w14:textId="77777777" w:rsidR="00553177" w:rsidRPr="006F61C9" w:rsidRDefault="00553177" w:rsidP="008D5BFD">
            <w:pPr>
              <w:pStyle w:val="Table"/>
              <w:rPr>
                <w:b/>
              </w:rPr>
            </w:pPr>
            <w:r w:rsidRPr="006F61C9">
              <w:rPr>
                <w:b/>
              </w:rPr>
              <w:t>Section of the Income Tax Return</w:t>
            </w:r>
          </w:p>
        </w:tc>
        <w:tc>
          <w:tcPr>
            <w:tcW w:w="1051" w:type="dxa"/>
            <w:gridSpan w:val="2"/>
            <w:shd w:val="clear" w:color="auto" w:fill="051C3C"/>
          </w:tcPr>
          <w:p w14:paraId="052B9AD0" w14:textId="77777777" w:rsidR="00553177" w:rsidRPr="006F61C9" w:rsidRDefault="00553177" w:rsidP="008D5BFD">
            <w:pPr>
              <w:pStyle w:val="Table"/>
              <w:jc w:val="center"/>
              <w:rPr>
                <w:b/>
              </w:rPr>
            </w:pPr>
            <w:r w:rsidRPr="006F61C9">
              <w:rPr>
                <w:b/>
              </w:rPr>
              <w:t>Column 1</w:t>
            </w:r>
          </w:p>
          <w:p w14:paraId="74DECA4B" w14:textId="77777777" w:rsidR="00553177" w:rsidRPr="006F61C9" w:rsidRDefault="00553177" w:rsidP="008D5BFD">
            <w:pPr>
              <w:pStyle w:val="Table"/>
              <w:jc w:val="center"/>
              <w:rPr>
                <w:b/>
              </w:rPr>
            </w:pPr>
            <w:r w:rsidRPr="006F61C9">
              <w:rPr>
                <w:b/>
              </w:rPr>
              <w:t>(A) (S) (N/A)</w:t>
            </w:r>
          </w:p>
        </w:tc>
        <w:tc>
          <w:tcPr>
            <w:tcW w:w="1049" w:type="dxa"/>
            <w:gridSpan w:val="2"/>
            <w:shd w:val="clear" w:color="auto" w:fill="051C3C"/>
          </w:tcPr>
          <w:p w14:paraId="220389F2" w14:textId="77777777" w:rsidR="00553177" w:rsidRPr="006F61C9" w:rsidRDefault="00553177" w:rsidP="008D5BFD">
            <w:pPr>
              <w:pStyle w:val="Table"/>
              <w:jc w:val="center"/>
              <w:rPr>
                <w:b/>
              </w:rPr>
            </w:pPr>
            <w:r w:rsidRPr="006F61C9">
              <w:rPr>
                <w:b/>
              </w:rPr>
              <w:t>Column 2</w:t>
            </w:r>
          </w:p>
          <w:p w14:paraId="7CCFD590" w14:textId="77777777" w:rsidR="00553177" w:rsidRPr="006F61C9" w:rsidRDefault="00553177" w:rsidP="008D5BFD">
            <w:pPr>
              <w:pStyle w:val="Table"/>
              <w:jc w:val="center"/>
              <w:rPr>
                <w:b/>
              </w:rPr>
            </w:pPr>
            <w:r w:rsidRPr="006F61C9">
              <w:rPr>
                <w:b/>
              </w:rPr>
              <w:t>WP</w:t>
            </w:r>
          </w:p>
          <w:p w14:paraId="4C40EE8C" w14:textId="77777777" w:rsidR="00553177" w:rsidRPr="006F61C9" w:rsidRDefault="00553177" w:rsidP="008D5BFD">
            <w:pPr>
              <w:pStyle w:val="Table"/>
              <w:jc w:val="center"/>
              <w:rPr>
                <w:b/>
              </w:rPr>
            </w:pPr>
            <w:r w:rsidRPr="006F61C9">
              <w:rPr>
                <w:b/>
              </w:rPr>
              <w:t>(Y or N)</w:t>
            </w:r>
          </w:p>
        </w:tc>
        <w:tc>
          <w:tcPr>
            <w:tcW w:w="1208" w:type="dxa"/>
            <w:shd w:val="clear" w:color="auto" w:fill="051C3C"/>
          </w:tcPr>
          <w:p w14:paraId="720C46A6" w14:textId="77777777" w:rsidR="00553177" w:rsidRPr="006F61C9" w:rsidRDefault="00553177" w:rsidP="008D5BFD">
            <w:pPr>
              <w:pStyle w:val="Table"/>
              <w:jc w:val="center"/>
              <w:rPr>
                <w:b/>
              </w:rPr>
            </w:pPr>
            <w:r w:rsidRPr="006F61C9">
              <w:rPr>
                <w:b/>
              </w:rPr>
              <w:t>Column 3</w:t>
            </w:r>
          </w:p>
          <w:p w14:paraId="5BFF4DAE" w14:textId="77777777" w:rsidR="00553177" w:rsidRPr="006F61C9" w:rsidRDefault="00553177" w:rsidP="008D5BFD">
            <w:pPr>
              <w:pStyle w:val="Table"/>
              <w:jc w:val="center"/>
              <w:rPr>
                <w:b/>
              </w:rPr>
            </w:pPr>
            <w:r w:rsidRPr="006F61C9">
              <w:rPr>
                <w:b/>
              </w:rPr>
              <w:t>Attachment</w:t>
            </w:r>
          </w:p>
          <w:p w14:paraId="6C540452" w14:textId="77777777" w:rsidR="00553177" w:rsidRPr="006F61C9" w:rsidRDefault="00553177" w:rsidP="008D5BFD">
            <w:pPr>
              <w:pStyle w:val="Table"/>
              <w:jc w:val="center"/>
              <w:rPr>
                <w:b/>
              </w:rPr>
            </w:pPr>
            <w:r w:rsidRPr="006F61C9">
              <w:rPr>
                <w:b/>
              </w:rPr>
              <w:t>(Y or N)</w:t>
            </w:r>
          </w:p>
        </w:tc>
      </w:tr>
      <w:tr w:rsidR="00553177" w:rsidRPr="007A1C14" w14:paraId="36C3253B" w14:textId="77777777" w:rsidTr="008D5BFD">
        <w:tc>
          <w:tcPr>
            <w:tcW w:w="10303" w:type="dxa"/>
            <w:gridSpan w:val="8"/>
            <w:shd w:val="clear" w:color="auto" w:fill="D9D9D9" w:themeFill="background1" w:themeFillShade="D9"/>
            <w:vAlign w:val="center"/>
          </w:tcPr>
          <w:p w14:paraId="5E1A6C8C" w14:textId="77781143" w:rsidR="00553177" w:rsidRPr="007A1C14" w:rsidRDefault="00553177" w:rsidP="008D5BFD">
            <w:pPr>
              <w:pStyle w:val="Table"/>
              <w:spacing w:before="100" w:after="100"/>
              <w:rPr>
                <w:b/>
              </w:rPr>
            </w:pPr>
            <w:r w:rsidRPr="007A1C14">
              <w:rPr>
                <w:b/>
              </w:rPr>
              <w:t>Income Tests</w:t>
            </w:r>
            <w:r>
              <w:rPr>
                <w:b/>
              </w:rPr>
              <w:t xml:space="preserve"> </w:t>
            </w:r>
            <w:r w:rsidRPr="00553177">
              <w:t>(continued)</w:t>
            </w:r>
          </w:p>
        </w:tc>
      </w:tr>
      <w:tr w:rsidR="00553177" w:rsidRPr="005E76D2" w14:paraId="129A5311" w14:textId="77777777" w:rsidTr="00F17C65">
        <w:tc>
          <w:tcPr>
            <w:tcW w:w="1242" w:type="dxa"/>
          </w:tcPr>
          <w:p w14:paraId="756AB375" w14:textId="465F96FE" w:rsidR="00553177" w:rsidRDefault="00553177" w:rsidP="009B7367">
            <w:pPr>
              <w:pStyle w:val="Table"/>
            </w:pPr>
            <w:r w:rsidRPr="005E76D2">
              <w:t>IT6</w:t>
            </w:r>
          </w:p>
        </w:tc>
        <w:tc>
          <w:tcPr>
            <w:tcW w:w="5737" w:type="dxa"/>
          </w:tcPr>
          <w:p w14:paraId="5C3063EA" w14:textId="77777777" w:rsidR="00553177" w:rsidRPr="005E76D2" w:rsidRDefault="00553177" w:rsidP="008D5BFD">
            <w:pPr>
              <w:pStyle w:val="Table"/>
              <w:rPr>
                <w:b/>
              </w:rPr>
            </w:pPr>
            <w:r w:rsidRPr="005E76D2">
              <w:rPr>
                <w:b/>
              </w:rPr>
              <w:t>Net rental property loss</w:t>
            </w:r>
          </w:p>
          <w:p w14:paraId="4775F973" w14:textId="77777777" w:rsidR="00553177" w:rsidRPr="005E76D2" w:rsidRDefault="00553177" w:rsidP="008D5BFD">
            <w:pPr>
              <w:pStyle w:val="Table"/>
            </w:pPr>
            <w:r w:rsidRPr="005E76D2">
              <w:t>Disclose the rental property loss by which your rental deductions exceeded your rental income.</w:t>
            </w:r>
          </w:p>
          <w:p w14:paraId="19738C7D" w14:textId="13EF8AC5" w:rsidR="00553177" w:rsidRDefault="00553177" w:rsidP="009B7367">
            <w:pPr>
              <w:pStyle w:val="Table"/>
              <w:rPr>
                <w:b/>
              </w:rPr>
            </w:pPr>
            <w:r w:rsidRPr="00C108A5">
              <w:rPr>
                <w:b/>
                <w:sz w:val="14"/>
                <w:szCs w:val="14"/>
              </w:rPr>
              <w:t>Note</w:t>
            </w:r>
            <w:r w:rsidRPr="00C108A5">
              <w:rPr>
                <w:sz w:val="14"/>
                <w:szCs w:val="14"/>
              </w:rPr>
              <w:t>: you are still able to claim allowable tax deductions for expenditure on your rental properties.</w:t>
            </w:r>
            <w:r>
              <w:rPr>
                <w:sz w:val="14"/>
                <w:szCs w:val="14"/>
              </w:rPr>
              <w:t xml:space="preserve"> F</w:t>
            </w:r>
            <w:r>
              <w:rPr>
                <w:color w:val="000000"/>
                <w:sz w:val="14"/>
                <w:szCs w:val="14"/>
              </w:rPr>
              <w:t xml:space="preserve">or more guidance refer to </w:t>
            </w:r>
            <w:r w:rsidRPr="00C108A5">
              <w:rPr>
                <w:color w:val="000000"/>
                <w:sz w:val="14"/>
                <w:szCs w:val="14"/>
              </w:rPr>
              <w:t>CPA Australia</w:t>
            </w:r>
            <w:r>
              <w:rPr>
                <w:color w:val="000000"/>
                <w:sz w:val="14"/>
                <w:szCs w:val="14"/>
              </w:rPr>
              <w:t>’s</w:t>
            </w:r>
            <w:r w:rsidRPr="00C108A5">
              <w:rPr>
                <w:color w:val="000000"/>
                <w:sz w:val="14"/>
                <w:szCs w:val="14"/>
              </w:rPr>
              <w:t xml:space="preserve"> </w:t>
            </w:r>
            <w:r>
              <w:rPr>
                <w:color w:val="000000"/>
                <w:sz w:val="14"/>
                <w:szCs w:val="14"/>
              </w:rPr>
              <w:t>2017 R</w:t>
            </w:r>
            <w:r w:rsidRPr="00C108A5">
              <w:rPr>
                <w:color w:val="000000"/>
                <w:sz w:val="14"/>
                <w:szCs w:val="14"/>
              </w:rPr>
              <w:t>esidential rental property checklist.</w:t>
            </w:r>
          </w:p>
        </w:tc>
        <w:tc>
          <w:tcPr>
            <w:tcW w:w="1048" w:type="dxa"/>
            <w:gridSpan w:val="2"/>
          </w:tcPr>
          <w:p w14:paraId="00E149FE" w14:textId="77777777" w:rsidR="00553177" w:rsidRPr="005E76D2" w:rsidRDefault="00553177" w:rsidP="009B7367">
            <w:pPr>
              <w:pStyle w:val="Table"/>
              <w:jc w:val="center"/>
            </w:pPr>
          </w:p>
        </w:tc>
        <w:tc>
          <w:tcPr>
            <w:tcW w:w="1050" w:type="dxa"/>
            <w:gridSpan w:val="2"/>
          </w:tcPr>
          <w:p w14:paraId="5DE039B0" w14:textId="77777777" w:rsidR="00553177" w:rsidRPr="005E76D2" w:rsidRDefault="00553177" w:rsidP="009B7367">
            <w:pPr>
              <w:pStyle w:val="Table"/>
              <w:jc w:val="center"/>
            </w:pPr>
          </w:p>
        </w:tc>
        <w:tc>
          <w:tcPr>
            <w:tcW w:w="1226" w:type="dxa"/>
            <w:gridSpan w:val="2"/>
          </w:tcPr>
          <w:p w14:paraId="7E11F96A" w14:textId="77777777" w:rsidR="00553177" w:rsidRPr="005E76D2" w:rsidRDefault="00553177" w:rsidP="009B7367">
            <w:pPr>
              <w:pStyle w:val="Table"/>
              <w:jc w:val="center"/>
            </w:pPr>
          </w:p>
        </w:tc>
      </w:tr>
      <w:tr w:rsidR="00553177" w:rsidRPr="005E76D2" w14:paraId="7B9FFF78" w14:textId="77777777" w:rsidTr="00F17C65">
        <w:tc>
          <w:tcPr>
            <w:tcW w:w="1242" w:type="dxa"/>
          </w:tcPr>
          <w:p w14:paraId="5A123FB4" w14:textId="2A087076" w:rsidR="00553177" w:rsidRDefault="00553177" w:rsidP="009B7367">
            <w:pPr>
              <w:pStyle w:val="Table"/>
            </w:pPr>
            <w:r w:rsidRPr="005E76D2">
              <w:t>IT7</w:t>
            </w:r>
          </w:p>
        </w:tc>
        <w:tc>
          <w:tcPr>
            <w:tcW w:w="5737" w:type="dxa"/>
          </w:tcPr>
          <w:p w14:paraId="20CF16FE" w14:textId="77777777" w:rsidR="00553177" w:rsidRPr="005E76D2" w:rsidRDefault="00553177" w:rsidP="008D5BFD">
            <w:pPr>
              <w:pStyle w:val="Table"/>
              <w:rPr>
                <w:b/>
              </w:rPr>
            </w:pPr>
            <w:r w:rsidRPr="005E76D2">
              <w:rPr>
                <w:b/>
              </w:rPr>
              <w:t>Child support you paid</w:t>
            </w:r>
          </w:p>
          <w:p w14:paraId="0922C79E" w14:textId="43B1C39F" w:rsidR="00553177" w:rsidRDefault="00553177" w:rsidP="009B7367">
            <w:pPr>
              <w:pStyle w:val="Table"/>
              <w:rPr>
                <w:b/>
              </w:rPr>
            </w:pPr>
            <w:r w:rsidRPr="005E76D2">
              <w:t xml:space="preserve">Obtain records to work out the total amount of child support that </w:t>
            </w:r>
            <w:r>
              <w:t>the client</w:t>
            </w:r>
            <w:r w:rsidRPr="005E76D2">
              <w:t xml:space="preserve"> paid</w:t>
            </w:r>
            <w:r>
              <w:t xml:space="preserve"> or benefits provided in respect of a natural or adopted child </w:t>
            </w:r>
            <w:r w:rsidRPr="005E76D2">
              <w:t>during the 201</w:t>
            </w:r>
            <w:r>
              <w:t xml:space="preserve">7 </w:t>
            </w:r>
            <w:r w:rsidRPr="005E76D2">
              <w:t>income year.</w:t>
            </w:r>
          </w:p>
        </w:tc>
        <w:tc>
          <w:tcPr>
            <w:tcW w:w="1048" w:type="dxa"/>
            <w:gridSpan w:val="2"/>
          </w:tcPr>
          <w:p w14:paraId="1650A91B" w14:textId="77777777" w:rsidR="00553177" w:rsidRPr="005E76D2" w:rsidRDefault="00553177" w:rsidP="009B7367">
            <w:pPr>
              <w:pStyle w:val="Table"/>
              <w:jc w:val="center"/>
            </w:pPr>
          </w:p>
        </w:tc>
        <w:tc>
          <w:tcPr>
            <w:tcW w:w="1050" w:type="dxa"/>
            <w:gridSpan w:val="2"/>
          </w:tcPr>
          <w:p w14:paraId="2F7426D5" w14:textId="77777777" w:rsidR="00553177" w:rsidRPr="005E76D2" w:rsidRDefault="00553177" w:rsidP="009B7367">
            <w:pPr>
              <w:pStyle w:val="Table"/>
              <w:jc w:val="center"/>
            </w:pPr>
          </w:p>
        </w:tc>
        <w:tc>
          <w:tcPr>
            <w:tcW w:w="1226" w:type="dxa"/>
            <w:gridSpan w:val="2"/>
          </w:tcPr>
          <w:p w14:paraId="160291CC" w14:textId="77777777" w:rsidR="00553177" w:rsidRPr="005E76D2" w:rsidRDefault="00553177" w:rsidP="009B7367">
            <w:pPr>
              <w:pStyle w:val="Table"/>
              <w:jc w:val="center"/>
            </w:pPr>
          </w:p>
        </w:tc>
      </w:tr>
      <w:tr w:rsidR="00553177" w:rsidRPr="005E76D2" w14:paraId="537C449B" w14:textId="77777777" w:rsidTr="00F17C65">
        <w:tc>
          <w:tcPr>
            <w:tcW w:w="1242" w:type="dxa"/>
          </w:tcPr>
          <w:p w14:paraId="49A4EC92" w14:textId="77777777" w:rsidR="00553177" w:rsidRPr="005E76D2" w:rsidRDefault="00553177" w:rsidP="009B7367">
            <w:pPr>
              <w:pStyle w:val="Table"/>
            </w:pPr>
            <w:r>
              <w:t>IT8</w:t>
            </w:r>
          </w:p>
        </w:tc>
        <w:tc>
          <w:tcPr>
            <w:tcW w:w="5737" w:type="dxa"/>
          </w:tcPr>
          <w:p w14:paraId="5793C137" w14:textId="77777777" w:rsidR="00553177" w:rsidRDefault="00553177" w:rsidP="009B7367">
            <w:pPr>
              <w:pStyle w:val="Table"/>
              <w:rPr>
                <w:b/>
              </w:rPr>
            </w:pPr>
            <w:r>
              <w:rPr>
                <w:b/>
              </w:rPr>
              <w:t>Number of dependent children</w:t>
            </w:r>
          </w:p>
          <w:p w14:paraId="57147108" w14:textId="3DBA8AEA" w:rsidR="00553177" w:rsidRPr="00D23939" w:rsidRDefault="00553177" w:rsidP="008B030D">
            <w:pPr>
              <w:pStyle w:val="Table"/>
            </w:pPr>
            <w:r>
              <w:t xml:space="preserve">Identify the number of dependent children (if any) of the client. A dependent child is either the taxpayer’s child under 21 years or a child between 21 and 24 years old and a full-time student at a school, college or university. This information is used to determine if the client is entitled to the private health insurance offset, the net medical expenses offset or the Medicare levy surcharge.      </w:t>
            </w:r>
          </w:p>
        </w:tc>
        <w:tc>
          <w:tcPr>
            <w:tcW w:w="1048" w:type="dxa"/>
            <w:gridSpan w:val="2"/>
          </w:tcPr>
          <w:p w14:paraId="4641317F" w14:textId="77777777" w:rsidR="00553177" w:rsidRPr="005E76D2" w:rsidRDefault="00553177" w:rsidP="009B7367">
            <w:pPr>
              <w:pStyle w:val="Table"/>
              <w:jc w:val="center"/>
            </w:pPr>
          </w:p>
        </w:tc>
        <w:tc>
          <w:tcPr>
            <w:tcW w:w="1050" w:type="dxa"/>
            <w:gridSpan w:val="2"/>
          </w:tcPr>
          <w:p w14:paraId="4E14BD10" w14:textId="77777777" w:rsidR="00553177" w:rsidRPr="005E76D2" w:rsidRDefault="00553177" w:rsidP="009B7367">
            <w:pPr>
              <w:pStyle w:val="Table"/>
              <w:jc w:val="center"/>
            </w:pPr>
          </w:p>
        </w:tc>
        <w:tc>
          <w:tcPr>
            <w:tcW w:w="1226" w:type="dxa"/>
            <w:gridSpan w:val="2"/>
          </w:tcPr>
          <w:p w14:paraId="0CA5E62F" w14:textId="77777777" w:rsidR="00553177" w:rsidRPr="005E76D2" w:rsidRDefault="00553177" w:rsidP="009B7367">
            <w:pPr>
              <w:pStyle w:val="Table"/>
              <w:jc w:val="center"/>
            </w:pPr>
          </w:p>
        </w:tc>
      </w:tr>
      <w:tr w:rsidR="00553177" w:rsidRPr="005E76D2" w14:paraId="695BBAAE" w14:textId="77777777" w:rsidTr="009F1C68">
        <w:tc>
          <w:tcPr>
            <w:tcW w:w="1242" w:type="dxa"/>
          </w:tcPr>
          <w:p w14:paraId="6160DC9A" w14:textId="77777777" w:rsidR="00553177" w:rsidRPr="009A796B" w:rsidRDefault="00553177" w:rsidP="009B7367">
            <w:pPr>
              <w:pStyle w:val="Table"/>
            </w:pPr>
            <w:r w:rsidRPr="009A796B">
              <w:t>Other information</w:t>
            </w:r>
          </w:p>
        </w:tc>
        <w:tc>
          <w:tcPr>
            <w:tcW w:w="5737" w:type="dxa"/>
          </w:tcPr>
          <w:p w14:paraId="5BFBE82B" w14:textId="77777777" w:rsidR="00553177" w:rsidRPr="009A796B" w:rsidRDefault="00553177" w:rsidP="009B7367">
            <w:pPr>
              <w:pStyle w:val="Table"/>
              <w:rPr>
                <w:b/>
              </w:rPr>
            </w:pPr>
            <w:r w:rsidRPr="009A796B">
              <w:rPr>
                <w:b/>
              </w:rPr>
              <w:t>Spouse Details – married or de facto</w:t>
            </w:r>
          </w:p>
          <w:p w14:paraId="6A06ACDC" w14:textId="173D98D4" w:rsidR="00553177" w:rsidRPr="009A796B" w:rsidRDefault="00553177" w:rsidP="009B7367">
            <w:pPr>
              <w:pStyle w:val="Table"/>
            </w:pPr>
            <w:r w:rsidRPr="009A796B">
              <w:t xml:space="preserve">Disclose all </w:t>
            </w:r>
            <w:r>
              <w:t xml:space="preserve">requested 2017 </w:t>
            </w:r>
            <w:r w:rsidRPr="009A796B">
              <w:t xml:space="preserve">information regarding your spouse. </w:t>
            </w:r>
          </w:p>
          <w:p w14:paraId="1D225BB3" w14:textId="38D8F356" w:rsidR="00553177" w:rsidRPr="00C108A5" w:rsidRDefault="00553177" w:rsidP="009B7367">
            <w:pPr>
              <w:pStyle w:val="Table"/>
              <w:rPr>
                <w:sz w:val="14"/>
                <w:szCs w:val="14"/>
              </w:rPr>
            </w:pPr>
            <w:r>
              <w:rPr>
                <w:b/>
                <w:sz w:val="14"/>
                <w:szCs w:val="14"/>
              </w:rPr>
              <w:t>Note</w:t>
            </w:r>
            <w:r w:rsidRPr="00C108A5">
              <w:rPr>
                <w:sz w:val="14"/>
                <w:szCs w:val="14"/>
              </w:rPr>
              <w:t>: as there is certain information requested which relates to your spouse’s 201</w:t>
            </w:r>
            <w:r>
              <w:rPr>
                <w:sz w:val="14"/>
                <w:szCs w:val="14"/>
              </w:rPr>
              <w:t>7</w:t>
            </w:r>
            <w:r w:rsidRPr="00C108A5">
              <w:rPr>
                <w:sz w:val="14"/>
                <w:szCs w:val="14"/>
              </w:rPr>
              <w:t xml:space="preserve"> income tax return, you should prepare and finalise both returns in conjunction with each other in order to disclose accurate information.</w:t>
            </w:r>
          </w:p>
        </w:tc>
        <w:tc>
          <w:tcPr>
            <w:tcW w:w="1048" w:type="dxa"/>
            <w:gridSpan w:val="2"/>
          </w:tcPr>
          <w:p w14:paraId="4A24AB75" w14:textId="77777777" w:rsidR="00553177" w:rsidRPr="005E76D2" w:rsidRDefault="00553177" w:rsidP="009B7367">
            <w:pPr>
              <w:pStyle w:val="Table"/>
              <w:jc w:val="center"/>
            </w:pPr>
          </w:p>
        </w:tc>
        <w:tc>
          <w:tcPr>
            <w:tcW w:w="1050" w:type="dxa"/>
            <w:gridSpan w:val="2"/>
          </w:tcPr>
          <w:p w14:paraId="7BD281A4" w14:textId="77777777" w:rsidR="00553177" w:rsidRPr="005E76D2" w:rsidRDefault="00553177" w:rsidP="009B7367">
            <w:pPr>
              <w:pStyle w:val="Table"/>
              <w:jc w:val="center"/>
            </w:pPr>
          </w:p>
        </w:tc>
        <w:tc>
          <w:tcPr>
            <w:tcW w:w="1226" w:type="dxa"/>
            <w:gridSpan w:val="2"/>
          </w:tcPr>
          <w:p w14:paraId="55C45E1F" w14:textId="77777777" w:rsidR="00553177" w:rsidRPr="005E76D2" w:rsidRDefault="00553177" w:rsidP="009B7367">
            <w:pPr>
              <w:pStyle w:val="Table"/>
              <w:jc w:val="center"/>
            </w:pPr>
          </w:p>
        </w:tc>
      </w:tr>
      <w:tr w:rsidR="00553177" w:rsidRPr="005E76D2" w14:paraId="774A80CC" w14:textId="77777777" w:rsidTr="00FC1EAE">
        <w:tc>
          <w:tcPr>
            <w:tcW w:w="10303" w:type="dxa"/>
            <w:gridSpan w:val="8"/>
          </w:tcPr>
          <w:p w14:paraId="7F1582DE" w14:textId="33E5C0B2" w:rsidR="00553177" w:rsidRPr="00C108A5" w:rsidRDefault="00553177" w:rsidP="008B030D">
            <w:pPr>
              <w:pStyle w:val="Source"/>
              <w:tabs>
                <w:tab w:val="clear" w:pos="368"/>
                <w:tab w:val="left" w:pos="567"/>
              </w:tabs>
              <w:ind w:left="0" w:right="0" w:firstLine="0"/>
              <w:rPr>
                <w:sz w:val="14"/>
                <w:szCs w:val="14"/>
              </w:rPr>
            </w:pPr>
            <w:r>
              <w:rPr>
                <w:b/>
                <w:sz w:val="14"/>
                <w:szCs w:val="14"/>
              </w:rPr>
              <w:t>Reminder</w:t>
            </w:r>
            <w:r w:rsidRPr="00C108A5">
              <w:rPr>
                <w:sz w:val="14"/>
                <w:szCs w:val="14"/>
              </w:rPr>
              <w:t xml:space="preserve">: have you </w:t>
            </w:r>
            <w:r>
              <w:rPr>
                <w:sz w:val="14"/>
                <w:szCs w:val="14"/>
              </w:rPr>
              <w:t>compared the</w:t>
            </w:r>
            <w:r w:rsidRPr="00C108A5">
              <w:rPr>
                <w:sz w:val="14"/>
                <w:szCs w:val="14"/>
              </w:rPr>
              <w:t xml:space="preserve"> pre-filled information provided by the </w:t>
            </w:r>
            <w:r>
              <w:rPr>
                <w:sz w:val="14"/>
                <w:szCs w:val="14"/>
              </w:rPr>
              <w:t xml:space="preserve">client on the </w:t>
            </w:r>
            <w:r w:rsidRPr="00C108A5">
              <w:rPr>
                <w:sz w:val="14"/>
                <w:szCs w:val="14"/>
              </w:rPr>
              <w:t xml:space="preserve">ATO </w:t>
            </w:r>
            <w:r>
              <w:rPr>
                <w:sz w:val="14"/>
                <w:szCs w:val="14"/>
              </w:rPr>
              <w:t xml:space="preserve">portal with other information used to </w:t>
            </w:r>
            <w:r w:rsidRPr="00C108A5">
              <w:rPr>
                <w:sz w:val="14"/>
                <w:szCs w:val="14"/>
              </w:rPr>
              <w:t>prepar</w:t>
            </w:r>
            <w:r>
              <w:rPr>
                <w:sz w:val="14"/>
                <w:szCs w:val="14"/>
              </w:rPr>
              <w:t>e</w:t>
            </w:r>
            <w:r w:rsidRPr="00C108A5">
              <w:rPr>
                <w:sz w:val="14"/>
                <w:szCs w:val="14"/>
              </w:rPr>
              <w:t xml:space="preserve"> the </w:t>
            </w:r>
            <w:r>
              <w:rPr>
                <w:sz w:val="14"/>
                <w:szCs w:val="14"/>
              </w:rPr>
              <w:t>client’s</w:t>
            </w:r>
            <w:r w:rsidRPr="00C108A5">
              <w:rPr>
                <w:sz w:val="14"/>
                <w:szCs w:val="14"/>
              </w:rPr>
              <w:t xml:space="preserve"> tax return</w:t>
            </w:r>
            <w:r>
              <w:rPr>
                <w:sz w:val="14"/>
                <w:szCs w:val="14"/>
              </w:rPr>
              <w:t xml:space="preserve"> and reconciled any differences</w:t>
            </w:r>
            <w:r w:rsidRPr="00C108A5">
              <w:rPr>
                <w:sz w:val="14"/>
                <w:szCs w:val="14"/>
              </w:rPr>
              <w:t>?</w:t>
            </w:r>
          </w:p>
        </w:tc>
      </w:tr>
    </w:tbl>
    <w:p w14:paraId="003BFF95" w14:textId="77777777" w:rsidR="006969E9" w:rsidRDefault="006969E9" w:rsidP="0032011F">
      <w:pPr>
        <w:pStyle w:val="Body"/>
        <w:ind w:left="0"/>
      </w:pPr>
    </w:p>
    <w:sectPr w:rsidR="006969E9" w:rsidSect="00C108A5">
      <w:headerReference w:type="even" r:id="rId22"/>
      <w:headerReference w:type="default" r:id="rId23"/>
      <w:footerReference w:type="even" r:id="rId24"/>
      <w:footerReference w:type="default" r:id="rId25"/>
      <w:pgSz w:w="11899" w:h="16838" w:code="9"/>
      <w:pgMar w:top="851" w:right="907" w:bottom="851" w:left="907" w:header="284" w:footer="34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065EC" w14:textId="77777777" w:rsidR="00106283" w:rsidRDefault="00106283" w:rsidP="007132DC">
      <w:r>
        <w:separator/>
      </w:r>
    </w:p>
  </w:endnote>
  <w:endnote w:type="continuationSeparator" w:id="0">
    <w:p w14:paraId="765A72FA" w14:textId="77777777" w:rsidR="00106283" w:rsidRDefault="00106283"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6961" w14:textId="77777777" w:rsidR="00106283" w:rsidRDefault="00106283" w:rsidP="003E71B4">
    <w:pPr>
      <w:pStyle w:val="Header"/>
      <w:jc w:val="right"/>
    </w:pPr>
  </w:p>
  <w:p w14:paraId="684C8E5F" w14:textId="77777777" w:rsidR="00106283" w:rsidRDefault="00106283"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1E06" w14:textId="77777777" w:rsidR="00106283" w:rsidRDefault="00106283"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5992" w14:textId="1C620839" w:rsidR="00106283" w:rsidRPr="00A67AB2" w:rsidRDefault="00106283" w:rsidP="00A67AB2">
    <w:pPr>
      <w:pStyle w:val="Footer"/>
      <w:tabs>
        <w:tab w:val="clear" w:pos="8640"/>
        <w:tab w:val="right" w:pos="10219"/>
      </w:tabs>
      <w:ind w:left="-98"/>
      <w:rPr>
        <w:color w:val="auto"/>
        <w:sz w:val="18"/>
      </w:rPr>
    </w:pP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4B78C9">
      <w:rPr>
        <w:noProof/>
        <w:color w:val="auto"/>
        <w:sz w:val="18"/>
      </w:rPr>
      <w:t>14</w:t>
    </w:r>
    <w:r w:rsidRPr="00A67AB2">
      <w:rPr>
        <w:color w:val="auto"/>
        <w:sz w:val="18"/>
      </w:rPr>
      <w:fldChar w:fldCharType="end"/>
    </w:r>
    <w:r>
      <w:rPr>
        <w:color w:val="auto"/>
        <w:sz w:val="18"/>
      </w:rPr>
      <w:tab/>
    </w:r>
    <w:r>
      <w:rPr>
        <w:color w:val="auto"/>
        <w:sz w:val="18"/>
      </w:rPr>
      <w:tab/>
      <w:t>CPA Australia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9AD2" w14:textId="2483F16B" w:rsidR="00106283" w:rsidRPr="00A67AB2" w:rsidRDefault="00106283" w:rsidP="00A67AB2">
    <w:pPr>
      <w:pStyle w:val="Footer"/>
      <w:tabs>
        <w:tab w:val="clear" w:pos="8640"/>
        <w:tab w:val="right" w:pos="10219"/>
      </w:tabs>
      <w:ind w:left="-98"/>
      <w:rPr>
        <w:color w:val="auto"/>
        <w:sz w:val="18"/>
      </w:rPr>
    </w:pPr>
    <w:r>
      <w:rPr>
        <w:color w:val="auto"/>
        <w:sz w:val="18"/>
      </w:rPr>
      <w:t>CPA Australia</w:t>
    </w:r>
    <w:r>
      <w:rPr>
        <w:color w:val="auto"/>
        <w:sz w:val="18"/>
      </w:rPr>
      <w:tab/>
    </w:r>
    <w:r>
      <w:rPr>
        <w:color w:val="auto"/>
        <w:sz w:val="18"/>
      </w:rPr>
      <w:tab/>
    </w:r>
    <w:r w:rsidRPr="00A67AB2">
      <w:rPr>
        <w:color w:val="auto"/>
        <w:sz w:val="18"/>
      </w:rPr>
      <w:fldChar w:fldCharType="begin"/>
    </w:r>
    <w:r w:rsidRPr="00A67AB2">
      <w:rPr>
        <w:color w:val="auto"/>
        <w:sz w:val="18"/>
      </w:rPr>
      <w:instrText xml:space="preserve"> PAGE   \* MERGEFORMAT </w:instrText>
    </w:r>
    <w:r w:rsidRPr="00A67AB2">
      <w:rPr>
        <w:color w:val="auto"/>
        <w:sz w:val="18"/>
      </w:rPr>
      <w:fldChar w:fldCharType="separate"/>
    </w:r>
    <w:r w:rsidR="004B78C9">
      <w:rPr>
        <w:noProof/>
        <w:color w:val="auto"/>
        <w:sz w:val="18"/>
      </w:rPr>
      <w:t>15</w:t>
    </w:r>
    <w:r w:rsidRPr="00A67AB2">
      <w:rPr>
        <w:color w:val="auto"/>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41A6" w14:textId="77777777" w:rsidR="00106283" w:rsidRDefault="00106283" w:rsidP="007132DC">
      <w:r>
        <w:separator/>
      </w:r>
    </w:p>
  </w:footnote>
  <w:footnote w:type="continuationSeparator" w:id="0">
    <w:p w14:paraId="7DF897AA" w14:textId="77777777" w:rsidR="00106283" w:rsidRDefault="00106283"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1B6E" w14:textId="0FD07FCE" w:rsidR="00106283" w:rsidRDefault="00106283">
    <w:pPr>
      <w:pStyle w:val="Header"/>
    </w:pPr>
    <w:r>
      <w:rPr>
        <w:noProof/>
        <w:lang w:eastAsia="en-AU"/>
      </w:rPr>
      <mc:AlternateContent>
        <mc:Choice Requires="wps">
          <w:drawing>
            <wp:anchor distT="0" distB="0" distL="114300" distR="114300" simplePos="0" relativeHeight="251660288" behindDoc="0" locked="0" layoutInCell="1" allowOverlap="1" wp14:anchorId="4CC3BD1B" wp14:editId="69644FCE">
              <wp:simplePos x="0" y="0"/>
              <wp:positionH relativeFrom="column">
                <wp:posOffset>-28069</wp:posOffset>
              </wp:positionH>
              <wp:positionV relativeFrom="paragraph">
                <wp:posOffset>7920990</wp:posOffset>
              </wp:positionV>
              <wp:extent cx="6416298" cy="1255363"/>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298" cy="1255363"/>
                      </a:xfrm>
                      <a:prstGeom prst="rect">
                        <a:avLst/>
                      </a:prstGeom>
                      <a:solidFill>
                        <a:srgbClr val="00234B"/>
                      </a:solidFill>
                      <a:ln w="9525">
                        <a:solidFill>
                          <a:srgbClr val="00234B"/>
                        </a:solidFill>
                        <a:miter lim="800000"/>
                        <a:headEnd/>
                        <a:tailEnd/>
                      </a:ln>
                    </wps:spPr>
                    <wps:txbx>
                      <w:txbxContent>
                        <w:p w14:paraId="3FD26CA4" w14:textId="77777777" w:rsidR="00106283" w:rsidRPr="00415EA5" w:rsidRDefault="00106283" w:rsidP="00415EA5">
                          <w:pPr>
                            <w:rPr>
                              <w:sz w:val="72"/>
                            </w:rPr>
                          </w:pPr>
                          <w:r w:rsidRPr="00415EA5">
                            <w:rPr>
                              <w:sz w:val="72"/>
                            </w:rPr>
                            <w:t>INDIVIDUAL TAX RETURN CHECKLIST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3BD1B" id="_x0000_t202" coordsize="21600,21600" o:spt="202" path="m,l,21600r21600,l21600,xe">
              <v:stroke joinstyle="miter"/>
              <v:path gradientshapeok="t" o:connecttype="rect"/>
            </v:shapetype>
            <v:shape id="Text Box 2" o:spid="_x0000_s1026" type="#_x0000_t202" style="position:absolute;margin-left:-2.2pt;margin-top:623.7pt;width:505.2pt;height:9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" fillcolor="#00234b" strokecolor="#00234b">
              <v:textbox>
                <w:txbxContent>
                  <w:p w14:paraId="3FD26CA4" w14:textId="77777777" w:rsidR="00106283" w:rsidRPr="00415EA5" w:rsidRDefault="00106283" w:rsidP="00415EA5">
                    <w:pPr>
                      <w:rPr>
                        <w:sz w:val="72"/>
                      </w:rPr>
                    </w:pPr>
                    <w:r w:rsidRPr="00415EA5">
                      <w:rPr>
                        <w:sz w:val="72"/>
                      </w:rPr>
                      <w:t>INDIVIDUAL TAX RETURN CHECKLIST 2017</w:t>
                    </w:r>
                  </w:p>
                </w:txbxContent>
              </v:textbox>
            </v:shape>
          </w:pict>
        </mc:Fallback>
      </mc:AlternateContent>
    </w:r>
    <w:r>
      <w:rPr>
        <w:noProof/>
        <w:lang w:eastAsia="en-AU"/>
      </w:rPr>
      <w:drawing>
        <wp:anchor distT="0" distB="0" distL="114300" distR="114300" simplePos="0" relativeHeight="251658240" behindDoc="0" locked="0" layoutInCell="1" allowOverlap="1" wp14:anchorId="16165B3C" wp14:editId="70450D78">
          <wp:simplePos x="0" y="0"/>
          <wp:positionH relativeFrom="column">
            <wp:posOffset>-575945</wp:posOffset>
          </wp:positionH>
          <wp:positionV relativeFrom="paragraph">
            <wp:posOffset>-180340</wp:posOffset>
          </wp:positionV>
          <wp:extent cx="7565390" cy="10701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H2272_Title_Image_A4_Tax_Checklists.jpg"/>
                  <pic:cNvPicPr/>
                </pic:nvPicPr>
                <pic:blipFill>
                  <a:blip r:embed="rId1">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E764" w14:textId="77777777" w:rsidR="00106283" w:rsidRDefault="00106283" w:rsidP="007132DC">
    <w:pPr>
      <w:pStyle w:val="Header"/>
      <w:tabs>
        <w:tab w:val="clear" w:pos="4320"/>
        <w:tab w:val="clear" w:pos="8640"/>
        <w:tab w:val="left" w:pos="1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0301"/>
    </w:tblGrid>
    <w:tr w:rsidR="00106283" w:rsidRPr="006159C2" w14:paraId="655A40A9" w14:textId="77777777" w:rsidTr="004C19F0">
      <w:tc>
        <w:tcPr>
          <w:tcW w:w="10301" w:type="dxa"/>
        </w:tcPr>
        <w:p w14:paraId="0F0F9F2D" w14:textId="77777777" w:rsidR="00106283" w:rsidRPr="008F2CB6" w:rsidRDefault="00106283" w:rsidP="004C19F0">
          <w:pPr>
            <w:pStyle w:val="Header"/>
            <w:rPr>
              <w:sz w:val="20"/>
            </w:rPr>
          </w:pPr>
        </w:p>
      </w:tc>
    </w:tr>
  </w:tbl>
  <w:p w14:paraId="526F7FE4" w14:textId="6C5B1F26" w:rsidR="00106283" w:rsidRPr="000F3C13" w:rsidRDefault="00106283" w:rsidP="00A67AB2">
    <w:pPr>
      <w:pStyle w:val="BodyHeading"/>
      <w:spacing w:before="720"/>
      <w:ind w:left="-112"/>
      <w:rPr>
        <w:color w:val="051C3C"/>
        <w:sz w:val="40"/>
      </w:rPr>
    </w:pPr>
    <w:r w:rsidRPr="000F3C13">
      <w:rPr>
        <w:rFonts w:cs="Arial"/>
        <w:b/>
        <w:color w:val="051C3C"/>
      </w:rPr>
      <w:t>Individual Tax Return Checklist 201</w:t>
    </w:r>
    <w:r>
      <w:rPr>
        <w:rFonts w:cs="Arial"/>
        <w:b/>
        <w:color w:val="051C3C"/>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0301"/>
    </w:tblGrid>
    <w:tr w:rsidR="00106283" w:rsidRPr="006159C2" w14:paraId="0D5F4044" w14:textId="77777777" w:rsidTr="00040539">
      <w:tc>
        <w:tcPr>
          <w:tcW w:w="10301" w:type="dxa"/>
        </w:tcPr>
        <w:p w14:paraId="41379BC2" w14:textId="77777777" w:rsidR="00106283" w:rsidRPr="008F2CB6" w:rsidRDefault="00106283">
          <w:pPr>
            <w:pStyle w:val="Header"/>
            <w:rPr>
              <w:sz w:val="20"/>
            </w:rPr>
          </w:pPr>
        </w:p>
      </w:tc>
    </w:tr>
  </w:tbl>
  <w:p w14:paraId="1A311B91" w14:textId="1BD19DE2" w:rsidR="00106283" w:rsidRPr="000F3C13" w:rsidRDefault="00106283" w:rsidP="004816EF">
    <w:pPr>
      <w:pStyle w:val="BodyHeading"/>
      <w:spacing w:before="720"/>
      <w:ind w:left="-112"/>
      <w:rPr>
        <w:color w:val="051C3C"/>
        <w:sz w:val="40"/>
      </w:rPr>
    </w:pPr>
    <w:r w:rsidRPr="000F3C13">
      <w:rPr>
        <w:rFonts w:cs="Arial"/>
        <w:b/>
        <w:color w:val="051C3C"/>
      </w:rPr>
      <w:t>Indi</w:t>
    </w:r>
    <w:r>
      <w:rPr>
        <w:rFonts w:cs="Arial"/>
        <w:b/>
        <w:color w:val="051C3C"/>
      </w:rPr>
      <w:t>vidual Tax Return Checklist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0A7C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DAE73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034BBF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B8A3AA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7E85C6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3A89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1A80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8AF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6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143F4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344B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8151B"/>
    <w:multiLevelType w:val="hybridMultilevel"/>
    <w:tmpl w:val="794CD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4E2B5F"/>
    <w:multiLevelType w:val="hybridMultilevel"/>
    <w:tmpl w:val="162AB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7A5A22"/>
    <w:multiLevelType w:val="hybridMultilevel"/>
    <w:tmpl w:val="2B826BE2"/>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1BD62534"/>
    <w:multiLevelType w:val="hybridMultilevel"/>
    <w:tmpl w:val="E8E0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EC7F23"/>
    <w:multiLevelType w:val="hybridMultilevel"/>
    <w:tmpl w:val="C964B6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95D20D3"/>
    <w:multiLevelType w:val="hybridMultilevel"/>
    <w:tmpl w:val="F10ABD58"/>
    <w:lvl w:ilvl="0" w:tplc="7C8C9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746424B"/>
    <w:multiLevelType w:val="hybridMultilevel"/>
    <w:tmpl w:val="E4AE712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02CAE"/>
    <w:multiLevelType w:val="hybridMultilevel"/>
    <w:tmpl w:val="99B09B16"/>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A1B26"/>
    <w:multiLevelType w:val="hybridMultilevel"/>
    <w:tmpl w:val="F6920AFC"/>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417E8"/>
    <w:multiLevelType w:val="hybridMultilevel"/>
    <w:tmpl w:val="A61290A4"/>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4C5445"/>
    <w:multiLevelType w:val="hybridMultilevel"/>
    <w:tmpl w:val="36B4FB6E"/>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9016F"/>
    <w:multiLevelType w:val="hybridMultilevel"/>
    <w:tmpl w:val="1CE4DF4A"/>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D520D"/>
    <w:multiLevelType w:val="hybridMultilevel"/>
    <w:tmpl w:val="103AEFBC"/>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4534E"/>
    <w:multiLevelType w:val="hybridMultilevel"/>
    <w:tmpl w:val="2F040754"/>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E1FA2"/>
    <w:multiLevelType w:val="hybridMultilevel"/>
    <w:tmpl w:val="17C0996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35995"/>
    <w:multiLevelType w:val="hybridMultilevel"/>
    <w:tmpl w:val="CB424C8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C6F78"/>
    <w:multiLevelType w:val="hybridMultilevel"/>
    <w:tmpl w:val="4B3A7F02"/>
    <w:lvl w:ilvl="0" w:tplc="B42A2132">
      <w:start w:val="1"/>
      <w:numFmt w:val="bullet"/>
      <w:lvlRestart w:val="0"/>
      <w:lvlText w:val=""/>
      <w:lvlJc w:val="left"/>
      <w:pPr>
        <w:tabs>
          <w:tab w:val="num" w:pos="624"/>
        </w:tabs>
        <w:ind w:left="644" w:hanging="5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21FDF"/>
    <w:multiLevelType w:val="hybridMultilevel"/>
    <w:tmpl w:val="A6B06058"/>
    <w:lvl w:ilvl="0" w:tplc="08090019">
      <w:start w:val="1"/>
      <w:numFmt w:val="lowerLetter"/>
      <w:lvlText w:val="%1."/>
      <w:lvlJc w:val="left"/>
      <w:pPr>
        <w:ind w:left="360" w:hanging="360"/>
      </w:pPr>
      <w:rPr>
        <w:rFonts w:cs="Times New Roman"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75585"/>
    <w:multiLevelType w:val="hybridMultilevel"/>
    <w:tmpl w:val="1F205198"/>
    <w:lvl w:ilvl="0" w:tplc="31AC0A1C">
      <w:start w:val="1"/>
      <w:numFmt w:val="lowerLetter"/>
      <w:lvlText w:val="%1."/>
      <w:lvlJc w:val="left"/>
      <w:pPr>
        <w:ind w:left="72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71C01"/>
    <w:multiLevelType w:val="hybridMultilevel"/>
    <w:tmpl w:val="6C0EC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906887"/>
    <w:multiLevelType w:val="hybridMultilevel"/>
    <w:tmpl w:val="2A24F112"/>
    <w:lvl w:ilvl="0" w:tplc="31AC0A1C">
      <w:start w:val="1"/>
      <w:numFmt w:val="lowerLetter"/>
      <w:lvlText w:val="%1."/>
      <w:lvlJc w:val="left"/>
      <w:pPr>
        <w:ind w:left="360" w:hanging="360"/>
      </w:pPr>
      <w:rPr>
        <w:rFonts w:cs="Times New Roman" w:hint="default"/>
        <w:color w:val="000000"/>
        <w:sz w:val="17"/>
        <w:u w:val="none"/>
        <w:effect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660DC"/>
    <w:multiLevelType w:val="hybridMultilevel"/>
    <w:tmpl w:val="2938BE28"/>
    <w:lvl w:ilvl="0" w:tplc="31AC0A1C">
      <w:start w:val="1"/>
      <w:numFmt w:val="lowerLetter"/>
      <w:lvlText w:val="%1."/>
      <w:lvlJc w:val="left"/>
      <w:pPr>
        <w:ind w:left="864" w:hanging="360"/>
      </w:pPr>
      <w:rPr>
        <w:rFonts w:cs="Times New Roman" w:hint="default"/>
        <w:color w:val="000000"/>
        <w:sz w:val="17"/>
        <w:u w:val="none"/>
        <w:effect w:val="none"/>
      </w:rPr>
    </w:lvl>
    <w:lvl w:ilvl="1" w:tplc="08090003" w:tentative="1">
      <w:start w:val="1"/>
      <w:numFmt w:val="bullet"/>
      <w:lvlText w:val="o"/>
      <w:lvlJc w:val="left"/>
      <w:pPr>
        <w:ind w:left="1584" w:hanging="360"/>
      </w:pPr>
      <w:rPr>
        <w:rFonts w:ascii="Courier New" w:hAnsi="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797E18C5"/>
    <w:multiLevelType w:val="hybridMultilevel"/>
    <w:tmpl w:val="CFEE6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AF69E0"/>
    <w:multiLevelType w:val="hybridMultilevel"/>
    <w:tmpl w:val="06044BEE"/>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7FF3535E"/>
    <w:multiLevelType w:val="hybridMultilevel"/>
    <w:tmpl w:val="D7685CA6"/>
    <w:lvl w:ilvl="0" w:tplc="E90C2B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28"/>
  </w:num>
  <w:num w:numId="16">
    <w:abstractNumId w:val="22"/>
  </w:num>
  <w:num w:numId="17">
    <w:abstractNumId w:val="16"/>
  </w:num>
  <w:num w:numId="18">
    <w:abstractNumId w:val="17"/>
  </w:num>
  <w:num w:numId="19">
    <w:abstractNumId w:val="38"/>
  </w:num>
  <w:num w:numId="20">
    <w:abstractNumId w:val="38"/>
  </w:num>
  <w:num w:numId="21">
    <w:abstractNumId w:val="0"/>
  </w:num>
  <w:num w:numId="22">
    <w:abstractNumId w:val="26"/>
  </w:num>
  <w:num w:numId="23">
    <w:abstractNumId w:val="31"/>
  </w:num>
  <w:num w:numId="24">
    <w:abstractNumId w:val="25"/>
  </w:num>
  <w:num w:numId="25">
    <w:abstractNumId w:val="28"/>
  </w:num>
  <w:num w:numId="26">
    <w:abstractNumId w:val="32"/>
  </w:num>
  <w:num w:numId="27">
    <w:abstractNumId w:val="13"/>
  </w:num>
  <w:num w:numId="28">
    <w:abstractNumId w:val="37"/>
  </w:num>
  <w:num w:numId="29">
    <w:abstractNumId w:val="29"/>
  </w:num>
  <w:num w:numId="30">
    <w:abstractNumId w:val="23"/>
  </w:num>
  <w:num w:numId="31">
    <w:abstractNumId w:val="21"/>
  </w:num>
  <w:num w:numId="32">
    <w:abstractNumId w:val="19"/>
  </w:num>
  <w:num w:numId="33">
    <w:abstractNumId w:val="27"/>
  </w:num>
  <w:num w:numId="34">
    <w:abstractNumId w:val="35"/>
  </w:num>
  <w:num w:numId="35">
    <w:abstractNumId w:val="28"/>
  </w:num>
  <w:num w:numId="36">
    <w:abstractNumId w:val="34"/>
  </w:num>
  <w:num w:numId="37">
    <w:abstractNumId w:val="19"/>
    <w:lvlOverride w:ilvl="0">
      <w:startOverride w:val="1"/>
    </w:lvlOverride>
  </w:num>
  <w:num w:numId="38">
    <w:abstractNumId w:val="19"/>
    <w:lvlOverride w:ilvl="0">
      <w:startOverride w:val="1"/>
    </w:lvlOverride>
  </w:num>
  <w:num w:numId="39">
    <w:abstractNumId w:val="19"/>
  </w:num>
  <w:num w:numId="40">
    <w:abstractNumId w:val="19"/>
    <w:lvlOverride w:ilvl="0">
      <w:startOverride w:val="1"/>
    </w:lvlOverride>
  </w:num>
  <w:num w:numId="41">
    <w:abstractNumId w:val="30"/>
  </w:num>
  <w:num w:numId="42">
    <w:abstractNumId w:val="20"/>
  </w:num>
  <w:num w:numId="43">
    <w:abstractNumId w:val="18"/>
  </w:num>
  <w:num w:numId="44">
    <w:abstractNumId w:val="24"/>
  </w:num>
  <w:num w:numId="45">
    <w:abstractNumId w:val="12"/>
  </w:num>
  <w:num w:numId="46">
    <w:abstractNumId w:val="39"/>
  </w:num>
  <w:num w:numId="47">
    <w:abstractNumId w:val="11"/>
  </w:num>
  <w:num w:numId="48">
    <w:abstractNumId w:val="33"/>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E0"/>
    <w:rsid w:val="00000584"/>
    <w:rsid w:val="00000A6B"/>
    <w:rsid w:val="00007ABC"/>
    <w:rsid w:val="000160B5"/>
    <w:rsid w:val="00021F7A"/>
    <w:rsid w:val="00025620"/>
    <w:rsid w:val="0002643E"/>
    <w:rsid w:val="00040539"/>
    <w:rsid w:val="00042197"/>
    <w:rsid w:val="00051700"/>
    <w:rsid w:val="00065325"/>
    <w:rsid w:val="000661A7"/>
    <w:rsid w:val="000662ED"/>
    <w:rsid w:val="0006743E"/>
    <w:rsid w:val="00071684"/>
    <w:rsid w:val="00076DAA"/>
    <w:rsid w:val="0008079A"/>
    <w:rsid w:val="00083502"/>
    <w:rsid w:val="000850F8"/>
    <w:rsid w:val="000874AF"/>
    <w:rsid w:val="00092F2E"/>
    <w:rsid w:val="00094677"/>
    <w:rsid w:val="000A401A"/>
    <w:rsid w:val="000B4295"/>
    <w:rsid w:val="000C132D"/>
    <w:rsid w:val="000C1716"/>
    <w:rsid w:val="000C77ED"/>
    <w:rsid w:val="000D273F"/>
    <w:rsid w:val="000D2B8A"/>
    <w:rsid w:val="000E11F0"/>
    <w:rsid w:val="000E40C2"/>
    <w:rsid w:val="000E57DD"/>
    <w:rsid w:val="000E656B"/>
    <w:rsid w:val="000E6DE3"/>
    <w:rsid w:val="000F1C86"/>
    <w:rsid w:val="000F3C13"/>
    <w:rsid w:val="000F439E"/>
    <w:rsid w:val="000F5B74"/>
    <w:rsid w:val="000F5CDA"/>
    <w:rsid w:val="001016BE"/>
    <w:rsid w:val="0010450B"/>
    <w:rsid w:val="00106283"/>
    <w:rsid w:val="0011059C"/>
    <w:rsid w:val="0011743A"/>
    <w:rsid w:val="001226F9"/>
    <w:rsid w:val="00141ACF"/>
    <w:rsid w:val="001430ED"/>
    <w:rsid w:val="00147420"/>
    <w:rsid w:val="001579C3"/>
    <w:rsid w:val="001848AE"/>
    <w:rsid w:val="001853D9"/>
    <w:rsid w:val="00185E07"/>
    <w:rsid w:val="00192047"/>
    <w:rsid w:val="001935D4"/>
    <w:rsid w:val="001A06E0"/>
    <w:rsid w:val="001A083C"/>
    <w:rsid w:val="001A2A0F"/>
    <w:rsid w:val="001A5958"/>
    <w:rsid w:val="001C05FA"/>
    <w:rsid w:val="001D32AB"/>
    <w:rsid w:val="001D3AC2"/>
    <w:rsid w:val="001D3D54"/>
    <w:rsid w:val="001D6845"/>
    <w:rsid w:val="001E5F05"/>
    <w:rsid w:val="001F66FC"/>
    <w:rsid w:val="00200355"/>
    <w:rsid w:val="002017CB"/>
    <w:rsid w:val="00204F56"/>
    <w:rsid w:val="00210651"/>
    <w:rsid w:val="00211A8A"/>
    <w:rsid w:val="00214A54"/>
    <w:rsid w:val="0022417C"/>
    <w:rsid w:val="002252BE"/>
    <w:rsid w:val="00225967"/>
    <w:rsid w:val="002272E9"/>
    <w:rsid w:val="00227FE6"/>
    <w:rsid w:val="002337AE"/>
    <w:rsid w:val="00235B4D"/>
    <w:rsid w:val="002405EB"/>
    <w:rsid w:val="00244E8B"/>
    <w:rsid w:val="00244EA7"/>
    <w:rsid w:val="00251F55"/>
    <w:rsid w:val="00253DA7"/>
    <w:rsid w:val="00257234"/>
    <w:rsid w:val="00260753"/>
    <w:rsid w:val="00265D9F"/>
    <w:rsid w:val="002712CA"/>
    <w:rsid w:val="00272529"/>
    <w:rsid w:val="00280E66"/>
    <w:rsid w:val="00285774"/>
    <w:rsid w:val="00290168"/>
    <w:rsid w:val="00294357"/>
    <w:rsid w:val="002947D7"/>
    <w:rsid w:val="00295571"/>
    <w:rsid w:val="002A1BD1"/>
    <w:rsid w:val="002A30D8"/>
    <w:rsid w:val="002A4965"/>
    <w:rsid w:val="002A51E8"/>
    <w:rsid w:val="002A5237"/>
    <w:rsid w:val="002A6071"/>
    <w:rsid w:val="002A7E82"/>
    <w:rsid w:val="002B0F69"/>
    <w:rsid w:val="002B2853"/>
    <w:rsid w:val="002C130A"/>
    <w:rsid w:val="002C1EAE"/>
    <w:rsid w:val="002C3643"/>
    <w:rsid w:val="002C7914"/>
    <w:rsid w:val="002C7A30"/>
    <w:rsid w:val="002D5C68"/>
    <w:rsid w:val="002D77E0"/>
    <w:rsid w:val="002E39BB"/>
    <w:rsid w:val="002E76EB"/>
    <w:rsid w:val="002F051C"/>
    <w:rsid w:val="002F1A8F"/>
    <w:rsid w:val="002F4A49"/>
    <w:rsid w:val="002F7D68"/>
    <w:rsid w:val="003031B0"/>
    <w:rsid w:val="00305287"/>
    <w:rsid w:val="0031122F"/>
    <w:rsid w:val="00311996"/>
    <w:rsid w:val="00312E24"/>
    <w:rsid w:val="0031416F"/>
    <w:rsid w:val="0032011F"/>
    <w:rsid w:val="00321430"/>
    <w:rsid w:val="003277BD"/>
    <w:rsid w:val="00327BAD"/>
    <w:rsid w:val="00330C44"/>
    <w:rsid w:val="003529A9"/>
    <w:rsid w:val="003530BC"/>
    <w:rsid w:val="00361213"/>
    <w:rsid w:val="00362E26"/>
    <w:rsid w:val="0036334D"/>
    <w:rsid w:val="003644B9"/>
    <w:rsid w:val="00371D61"/>
    <w:rsid w:val="00391B86"/>
    <w:rsid w:val="00395DDC"/>
    <w:rsid w:val="003A323E"/>
    <w:rsid w:val="003A3FE5"/>
    <w:rsid w:val="003B03AB"/>
    <w:rsid w:val="003B57D0"/>
    <w:rsid w:val="003B6B38"/>
    <w:rsid w:val="003C0017"/>
    <w:rsid w:val="003C1820"/>
    <w:rsid w:val="003C4397"/>
    <w:rsid w:val="003C7353"/>
    <w:rsid w:val="003D6B93"/>
    <w:rsid w:val="003D6DC8"/>
    <w:rsid w:val="003E4B5A"/>
    <w:rsid w:val="003E71B4"/>
    <w:rsid w:val="003F34A5"/>
    <w:rsid w:val="003F4385"/>
    <w:rsid w:val="00401199"/>
    <w:rsid w:val="00405210"/>
    <w:rsid w:val="004065C5"/>
    <w:rsid w:val="004071D1"/>
    <w:rsid w:val="00411653"/>
    <w:rsid w:val="00415EA5"/>
    <w:rsid w:val="00422929"/>
    <w:rsid w:val="00432002"/>
    <w:rsid w:val="00434C46"/>
    <w:rsid w:val="00440D33"/>
    <w:rsid w:val="00443225"/>
    <w:rsid w:val="00446CF2"/>
    <w:rsid w:val="004565AB"/>
    <w:rsid w:val="004572A4"/>
    <w:rsid w:val="00463F03"/>
    <w:rsid w:val="00471670"/>
    <w:rsid w:val="00472A73"/>
    <w:rsid w:val="00474E65"/>
    <w:rsid w:val="00475C08"/>
    <w:rsid w:val="00475F5B"/>
    <w:rsid w:val="004774F0"/>
    <w:rsid w:val="00480AB1"/>
    <w:rsid w:val="00480DA4"/>
    <w:rsid w:val="004816EF"/>
    <w:rsid w:val="0048333B"/>
    <w:rsid w:val="00487923"/>
    <w:rsid w:val="00493951"/>
    <w:rsid w:val="004966CD"/>
    <w:rsid w:val="00497208"/>
    <w:rsid w:val="004A3A61"/>
    <w:rsid w:val="004A3C91"/>
    <w:rsid w:val="004A6CD2"/>
    <w:rsid w:val="004A6E36"/>
    <w:rsid w:val="004B518D"/>
    <w:rsid w:val="004B78C9"/>
    <w:rsid w:val="004C19F0"/>
    <w:rsid w:val="004C2155"/>
    <w:rsid w:val="004C508D"/>
    <w:rsid w:val="004E534E"/>
    <w:rsid w:val="004E591F"/>
    <w:rsid w:val="004F5F22"/>
    <w:rsid w:val="0050711B"/>
    <w:rsid w:val="0051011A"/>
    <w:rsid w:val="005161F6"/>
    <w:rsid w:val="00520F65"/>
    <w:rsid w:val="00522F72"/>
    <w:rsid w:val="005260A8"/>
    <w:rsid w:val="00527529"/>
    <w:rsid w:val="00533865"/>
    <w:rsid w:val="00535359"/>
    <w:rsid w:val="00535C8B"/>
    <w:rsid w:val="00540F80"/>
    <w:rsid w:val="0054402B"/>
    <w:rsid w:val="00553177"/>
    <w:rsid w:val="005549C7"/>
    <w:rsid w:val="00555665"/>
    <w:rsid w:val="005564F8"/>
    <w:rsid w:val="005641F7"/>
    <w:rsid w:val="00566541"/>
    <w:rsid w:val="005802A3"/>
    <w:rsid w:val="0058304B"/>
    <w:rsid w:val="00595C29"/>
    <w:rsid w:val="005A1539"/>
    <w:rsid w:val="005B75BC"/>
    <w:rsid w:val="005B7704"/>
    <w:rsid w:val="005C5FD9"/>
    <w:rsid w:val="005D2FA3"/>
    <w:rsid w:val="005D6C88"/>
    <w:rsid w:val="005E0C7E"/>
    <w:rsid w:val="005E76D2"/>
    <w:rsid w:val="005F1432"/>
    <w:rsid w:val="00604261"/>
    <w:rsid w:val="00607BD2"/>
    <w:rsid w:val="00611CF7"/>
    <w:rsid w:val="006153F3"/>
    <w:rsid w:val="006159C2"/>
    <w:rsid w:val="00617C7A"/>
    <w:rsid w:val="00621167"/>
    <w:rsid w:val="006248B1"/>
    <w:rsid w:val="0062705F"/>
    <w:rsid w:val="00635062"/>
    <w:rsid w:val="006418F9"/>
    <w:rsid w:val="00647763"/>
    <w:rsid w:val="0065586D"/>
    <w:rsid w:val="00664F1C"/>
    <w:rsid w:val="006661F7"/>
    <w:rsid w:val="0067056B"/>
    <w:rsid w:val="00670AA6"/>
    <w:rsid w:val="00673944"/>
    <w:rsid w:val="00682154"/>
    <w:rsid w:val="00682B20"/>
    <w:rsid w:val="00683F7C"/>
    <w:rsid w:val="006903EC"/>
    <w:rsid w:val="00691591"/>
    <w:rsid w:val="006969E9"/>
    <w:rsid w:val="006971C5"/>
    <w:rsid w:val="006A2A8E"/>
    <w:rsid w:val="006A6762"/>
    <w:rsid w:val="006D139E"/>
    <w:rsid w:val="006E712E"/>
    <w:rsid w:val="006F1DE8"/>
    <w:rsid w:val="006F493C"/>
    <w:rsid w:val="006F4FF3"/>
    <w:rsid w:val="006F61C9"/>
    <w:rsid w:val="00700AFA"/>
    <w:rsid w:val="00705C92"/>
    <w:rsid w:val="00707828"/>
    <w:rsid w:val="00712A07"/>
    <w:rsid w:val="007132DC"/>
    <w:rsid w:val="00720563"/>
    <w:rsid w:val="007217E4"/>
    <w:rsid w:val="00732813"/>
    <w:rsid w:val="00734C8E"/>
    <w:rsid w:val="007512C7"/>
    <w:rsid w:val="007536BB"/>
    <w:rsid w:val="00756DC1"/>
    <w:rsid w:val="00761E51"/>
    <w:rsid w:val="00766EFF"/>
    <w:rsid w:val="0077186A"/>
    <w:rsid w:val="00785094"/>
    <w:rsid w:val="00795252"/>
    <w:rsid w:val="00797782"/>
    <w:rsid w:val="007A1117"/>
    <w:rsid w:val="007A1C14"/>
    <w:rsid w:val="007A2BCD"/>
    <w:rsid w:val="007A402B"/>
    <w:rsid w:val="007A5F8D"/>
    <w:rsid w:val="007B2F03"/>
    <w:rsid w:val="007B7A16"/>
    <w:rsid w:val="007C1E00"/>
    <w:rsid w:val="007C1EF5"/>
    <w:rsid w:val="007C2776"/>
    <w:rsid w:val="007C2D15"/>
    <w:rsid w:val="007E0A9F"/>
    <w:rsid w:val="007E14DD"/>
    <w:rsid w:val="007E6229"/>
    <w:rsid w:val="007F0B9E"/>
    <w:rsid w:val="007F4B3D"/>
    <w:rsid w:val="007F7754"/>
    <w:rsid w:val="0080124E"/>
    <w:rsid w:val="00812261"/>
    <w:rsid w:val="00812309"/>
    <w:rsid w:val="00820873"/>
    <w:rsid w:val="0082238F"/>
    <w:rsid w:val="00834111"/>
    <w:rsid w:val="00845F4E"/>
    <w:rsid w:val="00850070"/>
    <w:rsid w:val="008543B1"/>
    <w:rsid w:val="008552A1"/>
    <w:rsid w:val="00862CC3"/>
    <w:rsid w:val="008720CF"/>
    <w:rsid w:val="00877EA5"/>
    <w:rsid w:val="0088477A"/>
    <w:rsid w:val="008907EB"/>
    <w:rsid w:val="00893F7A"/>
    <w:rsid w:val="0089437F"/>
    <w:rsid w:val="00894486"/>
    <w:rsid w:val="008A26E7"/>
    <w:rsid w:val="008A39EA"/>
    <w:rsid w:val="008A3A4C"/>
    <w:rsid w:val="008A6716"/>
    <w:rsid w:val="008B030D"/>
    <w:rsid w:val="008B77E4"/>
    <w:rsid w:val="008B7E26"/>
    <w:rsid w:val="008C025B"/>
    <w:rsid w:val="008C41C3"/>
    <w:rsid w:val="008C5181"/>
    <w:rsid w:val="008C62AE"/>
    <w:rsid w:val="008C651F"/>
    <w:rsid w:val="008D4B62"/>
    <w:rsid w:val="008D5DBA"/>
    <w:rsid w:val="008E1AB9"/>
    <w:rsid w:val="008E1E02"/>
    <w:rsid w:val="008E2093"/>
    <w:rsid w:val="008E520B"/>
    <w:rsid w:val="008F16A8"/>
    <w:rsid w:val="008F1953"/>
    <w:rsid w:val="008F2CB6"/>
    <w:rsid w:val="008F36FF"/>
    <w:rsid w:val="008F3F3D"/>
    <w:rsid w:val="00901604"/>
    <w:rsid w:val="0091720D"/>
    <w:rsid w:val="00917A62"/>
    <w:rsid w:val="00924FA2"/>
    <w:rsid w:val="00933ADB"/>
    <w:rsid w:val="0093493A"/>
    <w:rsid w:val="009367EC"/>
    <w:rsid w:val="0094047B"/>
    <w:rsid w:val="00942A2E"/>
    <w:rsid w:val="00943DF7"/>
    <w:rsid w:val="00950D1F"/>
    <w:rsid w:val="00952ED5"/>
    <w:rsid w:val="009543A6"/>
    <w:rsid w:val="00957F71"/>
    <w:rsid w:val="00961B8A"/>
    <w:rsid w:val="0096615A"/>
    <w:rsid w:val="00966C29"/>
    <w:rsid w:val="009673B4"/>
    <w:rsid w:val="00972E1B"/>
    <w:rsid w:val="009734CE"/>
    <w:rsid w:val="00976D24"/>
    <w:rsid w:val="009776CB"/>
    <w:rsid w:val="00977F68"/>
    <w:rsid w:val="00984335"/>
    <w:rsid w:val="009904B1"/>
    <w:rsid w:val="00991D12"/>
    <w:rsid w:val="00993F2C"/>
    <w:rsid w:val="009948F4"/>
    <w:rsid w:val="00995197"/>
    <w:rsid w:val="009966AA"/>
    <w:rsid w:val="009A49BA"/>
    <w:rsid w:val="009A796B"/>
    <w:rsid w:val="009B06F4"/>
    <w:rsid w:val="009B1ABA"/>
    <w:rsid w:val="009B24B4"/>
    <w:rsid w:val="009B455B"/>
    <w:rsid w:val="009B6248"/>
    <w:rsid w:val="009B7367"/>
    <w:rsid w:val="009C5E2F"/>
    <w:rsid w:val="009C6D2C"/>
    <w:rsid w:val="009D0769"/>
    <w:rsid w:val="009D11FB"/>
    <w:rsid w:val="009D1ADD"/>
    <w:rsid w:val="009E59B1"/>
    <w:rsid w:val="009F1C68"/>
    <w:rsid w:val="009F74E4"/>
    <w:rsid w:val="00A00DA6"/>
    <w:rsid w:val="00A05976"/>
    <w:rsid w:val="00A2336D"/>
    <w:rsid w:val="00A4098A"/>
    <w:rsid w:val="00A40D59"/>
    <w:rsid w:val="00A47E57"/>
    <w:rsid w:val="00A50817"/>
    <w:rsid w:val="00A67AB2"/>
    <w:rsid w:val="00A75CF3"/>
    <w:rsid w:val="00A82822"/>
    <w:rsid w:val="00A863E0"/>
    <w:rsid w:val="00A97829"/>
    <w:rsid w:val="00A9798B"/>
    <w:rsid w:val="00AA522D"/>
    <w:rsid w:val="00AB0EE3"/>
    <w:rsid w:val="00AB22E1"/>
    <w:rsid w:val="00AB2335"/>
    <w:rsid w:val="00AB4E26"/>
    <w:rsid w:val="00AC189C"/>
    <w:rsid w:val="00AC6482"/>
    <w:rsid w:val="00AC73F0"/>
    <w:rsid w:val="00AC7919"/>
    <w:rsid w:val="00AD0737"/>
    <w:rsid w:val="00AD23B0"/>
    <w:rsid w:val="00AD3341"/>
    <w:rsid w:val="00AE081E"/>
    <w:rsid w:val="00AF164D"/>
    <w:rsid w:val="00AF24CF"/>
    <w:rsid w:val="00AF349D"/>
    <w:rsid w:val="00B00E35"/>
    <w:rsid w:val="00B01F15"/>
    <w:rsid w:val="00B075F5"/>
    <w:rsid w:val="00B1094B"/>
    <w:rsid w:val="00B10F8F"/>
    <w:rsid w:val="00B119BB"/>
    <w:rsid w:val="00B16433"/>
    <w:rsid w:val="00B203DF"/>
    <w:rsid w:val="00B2433B"/>
    <w:rsid w:val="00B25ED0"/>
    <w:rsid w:val="00B27FC9"/>
    <w:rsid w:val="00B340A7"/>
    <w:rsid w:val="00B34CD9"/>
    <w:rsid w:val="00B3760F"/>
    <w:rsid w:val="00B470A1"/>
    <w:rsid w:val="00B52FED"/>
    <w:rsid w:val="00B61D3D"/>
    <w:rsid w:val="00B62483"/>
    <w:rsid w:val="00B64FF7"/>
    <w:rsid w:val="00B65629"/>
    <w:rsid w:val="00B705C8"/>
    <w:rsid w:val="00B75170"/>
    <w:rsid w:val="00B76BBB"/>
    <w:rsid w:val="00B85350"/>
    <w:rsid w:val="00B856E3"/>
    <w:rsid w:val="00B92AD4"/>
    <w:rsid w:val="00B92B0D"/>
    <w:rsid w:val="00B959B1"/>
    <w:rsid w:val="00B959FA"/>
    <w:rsid w:val="00B96E72"/>
    <w:rsid w:val="00BA45F0"/>
    <w:rsid w:val="00BA4783"/>
    <w:rsid w:val="00BA6E13"/>
    <w:rsid w:val="00BA722E"/>
    <w:rsid w:val="00BA7405"/>
    <w:rsid w:val="00BB06AB"/>
    <w:rsid w:val="00BB5D97"/>
    <w:rsid w:val="00BB7910"/>
    <w:rsid w:val="00BB7CA7"/>
    <w:rsid w:val="00BC0445"/>
    <w:rsid w:val="00BC1FC7"/>
    <w:rsid w:val="00BC3421"/>
    <w:rsid w:val="00BC518C"/>
    <w:rsid w:val="00BC5D62"/>
    <w:rsid w:val="00BE0260"/>
    <w:rsid w:val="00BE1DCA"/>
    <w:rsid w:val="00BE4A2A"/>
    <w:rsid w:val="00BF34EA"/>
    <w:rsid w:val="00BF3B2E"/>
    <w:rsid w:val="00C0217B"/>
    <w:rsid w:val="00C02D8A"/>
    <w:rsid w:val="00C0693B"/>
    <w:rsid w:val="00C108A5"/>
    <w:rsid w:val="00C14C7A"/>
    <w:rsid w:val="00C20DB3"/>
    <w:rsid w:val="00C22F47"/>
    <w:rsid w:val="00C22F7C"/>
    <w:rsid w:val="00C2361F"/>
    <w:rsid w:val="00C23C82"/>
    <w:rsid w:val="00C25551"/>
    <w:rsid w:val="00C31FBB"/>
    <w:rsid w:val="00C3275A"/>
    <w:rsid w:val="00C34CA3"/>
    <w:rsid w:val="00C359EE"/>
    <w:rsid w:val="00C4086E"/>
    <w:rsid w:val="00C41A13"/>
    <w:rsid w:val="00C43762"/>
    <w:rsid w:val="00C44281"/>
    <w:rsid w:val="00C473AB"/>
    <w:rsid w:val="00C50060"/>
    <w:rsid w:val="00C53128"/>
    <w:rsid w:val="00C54183"/>
    <w:rsid w:val="00C57F56"/>
    <w:rsid w:val="00C62FA7"/>
    <w:rsid w:val="00C70921"/>
    <w:rsid w:val="00C720FC"/>
    <w:rsid w:val="00C83138"/>
    <w:rsid w:val="00CA6ACB"/>
    <w:rsid w:val="00CB1DDA"/>
    <w:rsid w:val="00CB247B"/>
    <w:rsid w:val="00CC2A9E"/>
    <w:rsid w:val="00CD2C16"/>
    <w:rsid w:val="00CD4BBA"/>
    <w:rsid w:val="00CD4BCA"/>
    <w:rsid w:val="00CD79CD"/>
    <w:rsid w:val="00CE755B"/>
    <w:rsid w:val="00CF0F59"/>
    <w:rsid w:val="00CF4387"/>
    <w:rsid w:val="00D035D4"/>
    <w:rsid w:val="00D1060D"/>
    <w:rsid w:val="00D11C6A"/>
    <w:rsid w:val="00D12560"/>
    <w:rsid w:val="00D129D9"/>
    <w:rsid w:val="00D12B7C"/>
    <w:rsid w:val="00D13928"/>
    <w:rsid w:val="00D1479A"/>
    <w:rsid w:val="00D21C86"/>
    <w:rsid w:val="00D2300A"/>
    <w:rsid w:val="00D23939"/>
    <w:rsid w:val="00D278DD"/>
    <w:rsid w:val="00D32E74"/>
    <w:rsid w:val="00D351D8"/>
    <w:rsid w:val="00D40F58"/>
    <w:rsid w:val="00D4188C"/>
    <w:rsid w:val="00D42E7D"/>
    <w:rsid w:val="00D45E6F"/>
    <w:rsid w:val="00D503AE"/>
    <w:rsid w:val="00D53B41"/>
    <w:rsid w:val="00D542CA"/>
    <w:rsid w:val="00D5623A"/>
    <w:rsid w:val="00D628D4"/>
    <w:rsid w:val="00D629C2"/>
    <w:rsid w:val="00D80073"/>
    <w:rsid w:val="00D85D00"/>
    <w:rsid w:val="00D86304"/>
    <w:rsid w:val="00D93596"/>
    <w:rsid w:val="00D938B4"/>
    <w:rsid w:val="00D94FFD"/>
    <w:rsid w:val="00D95FD0"/>
    <w:rsid w:val="00DA3046"/>
    <w:rsid w:val="00DA6326"/>
    <w:rsid w:val="00DA6543"/>
    <w:rsid w:val="00DB23EA"/>
    <w:rsid w:val="00DB3E23"/>
    <w:rsid w:val="00DB7E01"/>
    <w:rsid w:val="00DC2C9A"/>
    <w:rsid w:val="00DE60E6"/>
    <w:rsid w:val="00DF3147"/>
    <w:rsid w:val="00DF59CA"/>
    <w:rsid w:val="00E0672F"/>
    <w:rsid w:val="00E10E8F"/>
    <w:rsid w:val="00E11305"/>
    <w:rsid w:val="00E124AA"/>
    <w:rsid w:val="00E126E1"/>
    <w:rsid w:val="00E12D4F"/>
    <w:rsid w:val="00E173FD"/>
    <w:rsid w:val="00E26F0A"/>
    <w:rsid w:val="00E32C6D"/>
    <w:rsid w:val="00E40561"/>
    <w:rsid w:val="00E43699"/>
    <w:rsid w:val="00E45380"/>
    <w:rsid w:val="00E4603D"/>
    <w:rsid w:val="00E464B7"/>
    <w:rsid w:val="00E5200C"/>
    <w:rsid w:val="00E56F7F"/>
    <w:rsid w:val="00E73986"/>
    <w:rsid w:val="00E917C2"/>
    <w:rsid w:val="00E91D67"/>
    <w:rsid w:val="00E9415D"/>
    <w:rsid w:val="00E96B5B"/>
    <w:rsid w:val="00E979AD"/>
    <w:rsid w:val="00EC09CE"/>
    <w:rsid w:val="00EC19BC"/>
    <w:rsid w:val="00EC64C4"/>
    <w:rsid w:val="00ED1CC2"/>
    <w:rsid w:val="00ED26B2"/>
    <w:rsid w:val="00EE7F43"/>
    <w:rsid w:val="00EF30AA"/>
    <w:rsid w:val="00EF7B67"/>
    <w:rsid w:val="00EF7E88"/>
    <w:rsid w:val="00F0566C"/>
    <w:rsid w:val="00F109BA"/>
    <w:rsid w:val="00F130C8"/>
    <w:rsid w:val="00F13A7E"/>
    <w:rsid w:val="00F17C65"/>
    <w:rsid w:val="00F20ADC"/>
    <w:rsid w:val="00F20C6C"/>
    <w:rsid w:val="00F20F6C"/>
    <w:rsid w:val="00F24E6E"/>
    <w:rsid w:val="00F25F90"/>
    <w:rsid w:val="00F46396"/>
    <w:rsid w:val="00F53453"/>
    <w:rsid w:val="00F72D0F"/>
    <w:rsid w:val="00F86C0C"/>
    <w:rsid w:val="00F87690"/>
    <w:rsid w:val="00F905AF"/>
    <w:rsid w:val="00F96C4A"/>
    <w:rsid w:val="00FB0C80"/>
    <w:rsid w:val="00FB3F2A"/>
    <w:rsid w:val="00FC1E35"/>
    <w:rsid w:val="00FC1EAE"/>
    <w:rsid w:val="00FC6A79"/>
    <w:rsid w:val="00FC73FA"/>
    <w:rsid w:val="00FD2A3A"/>
    <w:rsid w:val="00FD2CAB"/>
    <w:rsid w:val="00FD6DE9"/>
    <w:rsid w:val="00FE0874"/>
    <w:rsid w:val="00FE20AC"/>
    <w:rsid w:val="00FE495C"/>
    <w:rsid w:val="00FE54B9"/>
    <w:rsid w:val="00FF2297"/>
    <w:rsid w:val="00FF7D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FA7068"/>
  <w15:docId w15:val="{7AFBAEA7-BAA1-4436-A54D-36145FC9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spacing w:before="240" w:after="60"/>
      <w:ind w:left="720" w:hanging="720"/>
      <w:outlineLvl w:val="2"/>
    </w:pPr>
    <w:rPr>
      <w:rFonts w:ascii="Cambria" w:hAnsi="Cambria"/>
      <w:b/>
      <w:sz w:val="26"/>
      <w:szCs w:val="20"/>
    </w:rPr>
  </w:style>
  <w:style w:type="paragraph" w:styleId="Heading4">
    <w:name w:val="heading 4"/>
    <w:basedOn w:val="Normal"/>
    <w:next w:val="Normal"/>
    <w:link w:val="Heading4Char"/>
    <w:qFormat/>
    <w:rsid w:val="00C0217B"/>
    <w:pPr>
      <w:keepNext/>
      <w:spacing w:before="240" w:after="60"/>
      <w:ind w:left="864" w:hanging="864"/>
      <w:outlineLvl w:val="3"/>
    </w:pPr>
    <w:rPr>
      <w:rFonts w:ascii="Calibri" w:eastAsia="MS Mincho" w:hAnsi="Calibri"/>
      <w:b/>
      <w:sz w:val="28"/>
      <w:szCs w:val="20"/>
    </w:rPr>
  </w:style>
  <w:style w:type="paragraph" w:styleId="Heading5">
    <w:name w:val="heading 5"/>
    <w:basedOn w:val="Normal"/>
    <w:next w:val="Normal"/>
    <w:link w:val="Heading5Char"/>
    <w:qFormat/>
    <w:rsid w:val="00C0217B"/>
    <w:pPr>
      <w:spacing w:before="240" w:after="60"/>
      <w:ind w:left="1008" w:hanging="1008"/>
      <w:outlineLvl w:val="4"/>
    </w:pPr>
    <w:rPr>
      <w:rFonts w:ascii="Calibri" w:eastAsia="MS Mincho" w:hAnsi="Calibri"/>
      <w:b/>
      <w:i/>
      <w:sz w:val="26"/>
      <w:szCs w:val="20"/>
    </w:rPr>
  </w:style>
  <w:style w:type="paragraph" w:styleId="Heading6">
    <w:name w:val="heading 6"/>
    <w:basedOn w:val="Normal"/>
    <w:next w:val="Normal"/>
    <w:link w:val="Heading6Char"/>
    <w:qFormat/>
    <w:rsid w:val="00C0217B"/>
    <w:pPr>
      <w:spacing w:before="240" w:after="60"/>
      <w:ind w:left="1152" w:hanging="1152"/>
      <w:outlineLvl w:val="5"/>
    </w:pPr>
    <w:rPr>
      <w:rFonts w:ascii="Calibri" w:eastAsia="MS Mincho" w:hAnsi="Calibri"/>
      <w:b/>
      <w:sz w:val="22"/>
      <w:szCs w:val="20"/>
    </w:rPr>
  </w:style>
  <w:style w:type="paragraph" w:styleId="Heading7">
    <w:name w:val="heading 7"/>
    <w:basedOn w:val="Normal"/>
    <w:next w:val="Normal"/>
    <w:link w:val="Heading7Char"/>
    <w:qFormat/>
    <w:rsid w:val="00C0217B"/>
    <w:pPr>
      <w:spacing w:before="240" w:after="60"/>
      <w:ind w:left="1296" w:hanging="1296"/>
      <w:outlineLvl w:val="6"/>
    </w:pPr>
    <w:rPr>
      <w:rFonts w:ascii="Calibri" w:eastAsia="MS Mincho" w:hAnsi="Calibri"/>
      <w:szCs w:val="20"/>
    </w:rPr>
  </w:style>
  <w:style w:type="paragraph" w:styleId="Heading8">
    <w:name w:val="heading 8"/>
    <w:basedOn w:val="Normal"/>
    <w:next w:val="Normal"/>
    <w:link w:val="Heading8Char"/>
    <w:qFormat/>
    <w:rsid w:val="00C0217B"/>
    <w:pPr>
      <w:spacing w:before="240" w:after="60"/>
      <w:ind w:left="1440" w:hanging="1440"/>
      <w:outlineLvl w:val="7"/>
    </w:pPr>
    <w:rPr>
      <w:rFonts w:ascii="Calibri" w:eastAsia="MS Mincho" w:hAnsi="Calibri"/>
      <w:i/>
      <w:szCs w:val="20"/>
    </w:rPr>
  </w:style>
  <w:style w:type="paragraph" w:styleId="Heading9">
    <w:name w:val="heading 9"/>
    <w:basedOn w:val="Normal"/>
    <w:next w:val="Normal"/>
    <w:link w:val="Heading9Char"/>
    <w:qFormat/>
    <w:rsid w:val="00C0217B"/>
    <w:pPr>
      <w:spacing w:before="240" w:after="60"/>
      <w:ind w:left="1584" w:hanging="1584"/>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761E51"/>
    <w:rPr>
      <w:rFonts w:ascii="Cambria" w:hAnsi="Cambria" w:cs="Times New Roman"/>
      <w:b/>
      <w:kern w:val="32"/>
      <w:sz w:val="32"/>
      <w:lang w:val="en-AU" w:eastAsia="en-US"/>
    </w:rPr>
  </w:style>
  <w:style w:type="character" w:customStyle="1" w:styleId="Heading2Char">
    <w:name w:val="Heading 2 Char"/>
    <w:link w:val="Heading2"/>
    <w:semiHidden/>
    <w:locked/>
    <w:rsid w:val="00395DDC"/>
    <w:rPr>
      <w:rFonts w:ascii="Cambria" w:hAnsi="Cambria" w:cs="Times New Roman"/>
      <w:b/>
      <w:i/>
      <w:sz w:val="28"/>
      <w:lang w:val="en-AU" w:eastAsia="en-US"/>
    </w:rPr>
  </w:style>
  <w:style w:type="character" w:customStyle="1" w:styleId="Heading3Char">
    <w:name w:val="Heading 3 Char"/>
    <w:link w:val="Heading3"/>
    <w:locked/>
    <w:rsid w:val="00395DDC"/>
    <w:rPr>
      <w:rFonts w:ascii="Cambria" w:hAnsi="Cambria"/>
      <w:b/>
      <w:sz w:val="26"/>
      <w:lang w:eastAsia="en-US"/>
    </w:rPr>
  </w:style>
  <w:style w:type="character" w:customStyle="1" w:styleId="Heading4Char">
    <w:name w:val="Heading 4 Char"/>
    <w:link w:val="Heading4"/>
    <w:locked/>
    <w:rsid w:val="00C0217B"/>
    <w:rPr>
      <w:rFonts w:ascii="Calibri" w:eastAsia="MS Mincho" w:hAnsi="Calibri"/>
      <w:b/>
      <w:sz w:val="28"/>
      <w:lang w:eastAsia="en-US"/>
    </w:rPr>
  </w:style>
  <w:style w:type="character" w:customStyle="1" w:styleId="Heading5Char">
    <w:name w:val="Heading 5 Char"/>
    <w:link w:val="Heading5"/>
    <w:locked/>
    <w:rsid w:val="00C0217B"/>
    <w:rPr>
      <w:rFonts w:ascii="Calibri" w:eastAsia="MS Mincho" w:hAnsi="Calibri"/>
      <w:b/>
      <w:i/>
      <w:sz w:val="26"/>
      <w:lang w:eastAsia="en-US"/>
    </w:rPr>
  </w:style>
  <w:style w:type="character" w:customStyle="1" w:styleId="Heading6Char">
    <w:name w:val="Heading 6 Char"/>
    <w:link w:val="Heading6"/>
    <w:locked/>
    <w:rsid w:val="00C0217B"/>
    <w:rPr>
      <w:rFonts w:ascii="Calibri" w:eastAsia="MS Mincho" w:hAnsi="Calibri"/>
      <w:b/>
      <w:sz w:val="22"/>
      <w:lang w:eastAsia="en-US"/>
    </w:rPr>
  </w:style>
  <w:style w:type="character" w:customStyle="1" w:styleId="Heading7Char">
    <w:name w:val="Heading 7 Char"/>
    <w:link w:val="Heading7"/>
    <w:locked/>
    <w:rsid w:val="00C0217B"/>
    <w:rPr>
      <w:rFonts w:ascii="Calibri" w:eastAsia="MS Mincho" w:hAnsi="Calibri"/>
      <w:sz w:val="24"/>
      <w:lang w:eastAsia="en-US"/>
    </w:rPr>
  </w:style>
  <w:style w:type="character" w:customStyle="1" w:styleId="Heading8Char">
    <w:name w:val="Heading 8 Char"/>
    <w:link w:val="Heading8"/>
    <w:locked/>
    <w:rsid w:val="00C0217B"/>
    <w:rPr>
      <w:rFonts w:ascii="Calibri" w:eastAsia="MS Mincho" w:hAnsi="Calibri"/>
      <w:i/>
      <w:sz w:val="24"/>
      <w:lang w:eastAsia="en-US"/>
    </w:rPr>
  </w:style>
  <w:style w:type="character" w:customStyle="1" w:styleId="Heading9Char">
    <w:name w:val="Heading 9 Char"/>
    <w:link w:val="Heading9"/>
    <w:locked/>
    <w:rsid w:val="00C0217B"/>
    <w:rPr>
      <w:rFonts w:ascii="Cambria" w:hAnsi="Cambria"/>
      <w:sz w:val="22"/>
      <w:lang w:eastAsia="en-US"/>
    </w:rPr>
  </w:style>
  <w:style w:type="paragraph" w:styleId="BalloonText">
    <w:name w:val="Balloon Text"/>
    <w:basedOn w:val="Normal"/>
    <w:link w:val="BalloonTextChar"/>
    <w:semiHidden/>
    <w:rsid w:val="00A40D59"/>
    <w:rPr>
      <w:rFonts w:ascii="Times New Roman" w:hAnsi="Times New Roman"/>
      <w:sz w:val="2"/>
      <w:szCs w:val="20"/>
    </w:rPr>
  </w:style>
  <w:style w:type="character" w:customStyle="1" w:styleId="BalloonTextChar">
    <w:name w:val="Balloon Text Char"/>
    <w:link w:val="BalloonText"/>
    <w:semiHidden/>
    <w:locked/>
    <w:rPr>
      <w:rFonts w:ascii="Times New Roman" w:hAnsi="Times New Roman" w:cs="Times New Roman"/>
      <w:sz w:val="2"/>
      <w:lang w:eastAsia="en-US"/>
    </w:rPr>
  </w:style>
  <w:style w:type="paragraph" w:styleId="Header">
    <w:name w:val="header"/>
    <w:basedOn w:val="Normal"/>
    <w:link w:val="HeaderChar"/>
    <w:semiHidden/>
    <w:rsid w:val="00533865"/>
    <w:pPr>
      <w:tabs>
        <w:tab w:val="center" w:pos="4320"/>
        <w:tab w:val="right" w:pos="8640"/>
      </w:tabs>
    </w:pPr>
  </w:style>
  <w:style w:type="character" w:customStyle="1" w:styleId="HeaderChar">
    <w:name w:val="Header Char"/>
    <w:link w:val="Header"/>
    <w:semiHidden/>
    <w:locked/>
    <w:rPr>
      <w:rFonts w:cs="Times New Roman"/>
      <w:sz w:val="24"/>
      <w:szCs w:val="24"/>
      <w:lang w:eastAsia="en-US"/>
    </w:rPr>
  </w:style>
  <w:style w:type="paragraph" w:styleId="Footer">
    <w:name w:val="footer"/>
    <w:aliases w:val="_Footer"/>
    <w:basedOn w:val="Normal"/>
    <w:link w:val="FooterChar"/>
    <w:rsid w:val="00761E51"/>
    <w:pPr>
      <w:tabs>
        <w:tab w:val="center" w:pos="4320"/>
        <w:tab w:val="right" w:pos="8640"/>
      </w:tabs>
    </w:pPr>
    <w:rPr>
      <w:color w:val="FFD400"/>
      <w:szCs w:val="20"/>
    </w:rPr>
  </w:style>
  <w:style w:type="character" w:customStyle="1" w:styleId="FooterChar">
    <w:name w:val="Footer Char"/>
    <w:aliases w:val="_Footer Char"/>
    <w:link w:val="Footer"/>
    <w:locked/>
    <w:rsid w:val="003E71B4"/>
    <w:rPr>
      <w:rFonts w:cs="Times New Roman"/>
      <w:color w:val="FFD400"/>
      <w:sz w:val="24"/>
      <w:lang w:val="en-AU" w:eastAsia="en-US"/>
    </w:rPr>
  </w:style>
  <w:style w:type="paragraph" w:customStyle="1" w:styleId="Subheading">
    <w:name w:val="Sub heading"/>
    <w:basedOn w:val="TitleHeading"/>
    <w:semiHidden/>
    <w:rsid w:val="00A40D59"/>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A40D59"/>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540F80"/>
    <w:pPr>
      <w:spacing w:before="80" w:after="40"/>
      <w:ind w:left="-126" w:right="-120"/>
    </w:pPr>
    <w:rPr>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14"/>
      </w:numPr>
      <w:tabs>
        <w:tab w:val="left" w:pos="204"/>
      </w:tabs>
      <w:ind w:left="204" w:hanging="204"/>
    </w:pPr>
  </w:style>
  <w:style w:type="paragraph" w:customStyle="1" w:styleId="Table">
    <w:name w:val="_Table"/>
    <w:basedOn w:val="Normal"/>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styleId="Hyperlink">
    <w:name w:val="Hyperlink"/>
    <w:rsid w:val="000C1716"/>
    <w:rPr>
      <w:rFonts w:cs="Times New Roman"/>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rsid w:val="00FB3F2A"/>
    <w:pPr>
      <w:tabs>
        <w:tab w:val="left" w:pos="368"/>
      </w:tabs>
      <w:spacing w:before="60" w:after="120"/>
      <w:ind w:left="368" w:hanging="368"/>
    </w:pPr>
    <w:rPr>
      <w:sz w:val="12"/>
    </w:rPr>
  </w:style>
  <w:style w:type="paragraph" w:customStyle="1" w:styleId="Titleheading2">
    <w:name w:val="_Title heading2"/>
    <w:basedOn w:val="TitleHeading"/>
    <w:rsid w:val="00493951"/>
    <w:pPr>
      <w:spacing w:before="360"/>
      <w:ind w:right="170"/>
      <w:jc w:val="right"/>
    </w:pPr>
    <w:rPr>
      <w:color w:val="A8B9D1"/>
      <w:sz w:val="40"/>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paragraph" w:customStyle="1" w:styleId="TableBullet">
    <w:name w:val="_Table Bullet"/>
    <w:basedOn w:val="Table"/>
    <w:rsid w:val="007C2D15"/>
    <w:pPr>
      <w:tabs>
        <w:tab w:val="left" w:pos="567"/>
        <w:tab w:val="num" w:pos="1492"/>
      </w:tabs>
      <w:ind w:left="360" w:hanging="360"/>
    </w:pPr>
  </w:style>
  <w:style w:type="paragraph" w:customStyle="1" w:styleId="Tableheading">
    <w:name w:val="_Table heading"/>
    <w:basedOn w:val="Table"/>
    <w:rsid w:val="009904B1"/>
    <w:pPr>
      <w:spacing w:before="100" w:after="100"/>
    </w:pPr>
    <w:rPr>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16"/>
      </w:numPr>
      <w:tabs>
        <w:tab w:val="left" w:pos="356"/>
      </w:tabs>
      <w:ind w:left="370" w:hanging="195"/>
    </w:pPr>
  </w:style>
  <w:style w:type="paragraph" w:customStyle="1" w:styleId="BodyHeading2">
    <w:name w:val="_BodyHeading2"/>
    <w:basedOn w:val="BodyHeading1"/>
    <w:rsid w:val="0089437F"/>
    <w:pPr>
      <w:pageBreakBefore w:val="0"/>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paragraph" w:customStyle="1" w:styleId="BodyHeading4">
    <w:name w:val="_BodyHeading4"/>
    <w:basedOn w:val="BodyHeading3"/>
    <w:rsid w:val="00327BAD"/>
    <w:pPr>
      <w:numPr>
        <w:ilvl w:val="0"/>
      </w:numPr>
      <w:ind w:left="578" w:hanging="578"/>
    </w:pPr>
    <w:rPr>
      <w:lang w:val="en-GB" w:eastAsia="ja-JP"/>
    </w:rPr>
  </w:style>
  <w:style w:type="paragraph" w:customStyle="1" w:styleId="BodyHeading5">
    <w:name w:val="_BodyHeading5"/>
    <w:basedOn w:val="BodyHeading2"/>
    <w:rsid w:val="002A6071"/>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tabs>
        <w:tab w:val="num" w:pos="360"/>
      </w:tabs>
      <w:ind w:left="360" w:hanging="360"/>
      <w:contextualSpacing/>
    </w:pPr>
  </w:style>
  <w:style w:type="paragraph" w:customStyle="1" w:styleId="Bet">
    <w:name w:val="_Bet"/>
    <w:basedOn w:val="Body"/>
    <w:rsid w:val="001D3D54"/>
    <w:rPr>
      <w:sz w:val="5"/>
    </w:rPr>
  </w:style>
  <w:style w:type="paragraph" w:customStyle="1" w:styleId="Tablealphabullet">
    <w:name w:val="_Table alpha bullet"/>
    <w:basedOn w:val="TableBullet"/>
    <w:rsid w:val="00E96B5B"/>
    <w:pPr>
      <w:tabs>
        <w:tab w:val="clear" w:pos="567"/>
        <w:tab w:val="clear" w:pos="1492"/>
        <w:tab w:val="num" w:pos="284"/>
        <w:tab w:val="left" w:pos="709"/>
      </w:tabs>
      <w:ind w:left="284" w:hanging="284"/>
    </w:pPr>
  </w:style>
  <w:style w:type="paragraph" w:customStyle="1" w:styleId="Between">
    <w:name w:val="_Between"/>
    <w:basedOn w:val="Table"/>
    <w:rsid w:val="003D6B93"/>
  </w:style>
  <w:style w:type="character" w:customStyle="1" w:styleId="resizable-content">
    <w:name w:val="resizable-content"/>
    <w:rsid w:val="00D938B4"/>
    <w:rPr>
      <w:rFonts w:cs="Times New Roman"/>
    </w:rPr>
  </w:style>
  <w:style w:type="character" w:styleId="Strong">
    <w:name w:val="Strong"/>
    <w:qFormat/>
    <w:rsid w:val="00D938B4"/>
    <w:rPr>
      <w:rFonts w:cs="Times New Roman"/>
      <w:b/>
      <w:bCs/>
    </w:rPr>
  </w:style>
  <w:style w:type="paragraph" w:styleId="NoSpacing">
    <w:name w:val="No Spacing"/>
    <w:uiPriority w:val="1"/>
    <w:qFormat/>
    <w:rsid w:val="00D93596"/>
    <w:pPr>
      <w:jc w:val="both"/>
    </w:pPr>
    <w:rPr>
      <w:rFonts w:eastAsia="Calibri" w:cs="Arial"/>
      <w:sz w:val="24"/>
      <w:szCs w:val="24"/>
      <w:lang w:eastAsia="en-US"/>
    </w:rPr>
  </w:style>
  <w:style w:type="paragraph" w:styleId="NormalWeb">
    <w:name w:val="Normal (Web)"/>
    <w:basedOn w:val="Normal"/>
    <w:uiPriority w:val="99"/>
    <w:unhideWhenUsed/>
    <w:rsid w:val="009673B4"/>
    <w:rPr>
      <w:rFonts w:ascii="Times New Roman" w:eastAsia="Times New Roman" w:hAnsi="Times New Roman"/>
      <w:lang w:eastAsia="en-AU"/>
    </w:rPr>
  </w:style>
  <w:style w:type="character" w:styleId="CommentReference">
    <w:name w:val="annotation reference"/>
    <w:basedOn w:val="DefaultParagraphFont"/>
    <w:rsid w:val="00635062"/>
    <w:rPr>
      <w:sz w:val="16"/>
      <w:szCs w:val="16"/>
    </w:rPr>
  </w:style>
  <w:style w:type="paragraph" w:styleId="CommentText">
    <w:name w:val="annotation text"/>
    <w:basedOn w:val="Normal"/>
    <w:link w:val="CommentTextChar"/>
    <w:rsid w:val="00635062"/>
    <w:rPr>
      <w:sz w:val="20"/>
      <w:szCs w:val="20"/>
    </w:rPr>
  </w:style>
  <w:style w:type="character" w:customStyle="1" w:styleId="CommentTextChar">
    <w:name w:val="Comment Text Char"/>
    <w:basedOn w:val="DefaultParagraphFont"/>
    <w:link w:val="CommentText"/>
    <w:rsid w:val="00635062"/>
    <w:rPr>
      <w:lang w:eastAsia="en-US"/>
    </w:rPr>
  </w:style>
  <w:style w:type="paragraph" w:styleId="CommentSubject">
    <w:name w:val="annotation subject"/>
    <w:basedOn w:val="CommentText"/>
    <w:next w:val="CommentText"/>
    <w:link w:val="CommentSubjectChar"/>
    <w:rsid w:val="00635062"/>
    <w:rPr>
      <w:b/>
      <w:bCs/>
    </w:rPr>
  </w:style>
  <w:style w:type="character" w:customStyle="1" w:styleId="CommentSubjectChar">
    <w:name w:val="Comment Subject Char"/>
    <w:basedOn w:val="CommentTextChar"/>
    <w:link w:val="CommentSubject"/>
    <w:rsid w:val="00635062"/>
    <w:rPr>
      <w:b/>
      <w:bCs/>
      <w:lang w:eastAsia="en-US"/>
    </w:rPr>
  </w:style>
  <w:style w:type="paragraph" w:styleId="Revision">
    <w:name w:val="Revision"/>
    <w:hidden/>
    <w:uiPriority w:val="99"/>
    <w:semiHidden/>
    <w:rsid w:val="00635062"/>
    <w:rPr>
      <w:sz w:val="24"/>
      <w:szCs w:val="24"/>
      <w:lang w:eastAsia="en-US"/>
    </w:rPr>
  </w:style>
  <w:style w:type="paragraph" w:styleId="BodyText">
    <w:name w:val="Body Text"/>
    <w:basedOn w:val="BlockText"/>
    <w:link w:val="BodyTextChar"/>
    <w:rsid w:val="00DC2C9A"/>
    <w:pPr>
      <w:pBdr>
        <w:top w:val="none" w:sz="0" w:space="0" w:color="auto"/>
        <w:left w:val="none" w:sz="0" w:space="0" w:color="auto"/>
        <w:bottom w:val="none" w:sz="0" w:space="0" w:color="auto"/>
        <w:right w:val="none" w:sz="0" w:space="0" w:color="auto"/>
      </w:pBdr>
      <w:ind w:left="0" w:right="0"/>
    </w:pPr>
    <w:rPr>
      <w:rFonts w:ascii="Arial" w:eastAsia="Times New Roman" w:hAnsi="Arial" w:cs="Times New Roman"/>
      <w:i w:val="0"/>
      <w:iCs w:val="0"/>
      <w:color w:val="auto"/>
      <w:sz w:val="22"/>
      <w:szCs w:val="20"/>
      <w:lang w:eastAsia="en-AU"/>
    </w:rPr>
  </w:style>
  <w:style w:type="character" w:customStyle="1" w:styleId="BodyTextChar">
    <w:name w:val="Body Text Char"/>
    <w:basedOn w:val="DefaultParagraphFont"/>
    <w:link w:val="BodyText"/>
    <w:rsid w:val="00DC2C9A"/>
    <w:rPr>
      <w:rFonts w:eastAsia="Times New Roman"/>
      <w:sz w:val="22"/>
    </w:rPr>
  </w:style>
  <w:style w:type="paragraph" w:styleId="BlockText">
    <w:name w:val="Block Text"/>
    <w:basedOn w:val="Normal"/>
    <w:semiHidden/>
    <w:unhideWhenUsed/>
    <w:rsid w:val="00DC2C9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Mention1">
    <w:name w:val="Mention1"/>
    <w:basedOn w:val="DefaultParagraphFont"/>
    <w:uiPriority w:val="99"/>
    <w:semiHidden/>
    <w:unhideWhenUsed/>
    <w:rsid w:val="00FD2C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o.gov.au/Forms/Business-and-professional-items-2017/" TargetMode="External"/><Relationship Id="rId18" Type="http://schemas.openxmlformats.org/officeDocument/2006/relationships/hyperlink" Target="https://www.ato.gov.au/individuals/tax-return/2017/supplementary-tax-return/deduction-questions-d11-d15/d14-forestry-managed-investment-scheme-deduction-20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to.gov.au/Individuals/Tax-return/2017/Tax-return/Adjustment-questions-A1-A4/A4-Working-holiday-maker-net-income-2017/" TargetMode="External"/><Relationship Id="rId7" Type="http://schemas.openxmlformats.org/officeDocument/2006/relationships/endnotes" Target="endnotes.xml"/><Relationship Id="rId12" Type="http://schemas.openxmlformats.org/officeDocument/2006/relationships/hyperlink" Target="https://www.cpaaustralia.com.au/~/media/corporate/allfiles/document/professional-resources/taxation/psi-psb-self-assessment-checklist.doc?la=en" TargetMode="External"/><Relationship Id="rId17" Type="http://schemas.openxmlformats.org/officeDocument/2006/relationships/hyperlink" Target="https://www.ato.gov.au/business/income-and-deductions-for-business/deductions/motor-vehicle-expenses/claiming-motor-vehicle-expenses-as-a-sole-trader/logbook-method/"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ato.gov.au/Individuals/Tax-Return/2017/Supplementary-tax-return/Income-questions-13-24/23-Forestry-managed-investment-scheme-income-2017/" TargetMode="External"/><Relationship Id="rId20" Type="http://schemas.openxmlformats.org/officeDocument/2006/relationships/hyperlink" Target="https://www.ato.gov.au/Individuals/Tax-Return/2017/Supplementary-tax-return/Tax-offset-questions-T3-T11/T9-Early-stage-investor-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paaustralia.com.au/professional-resources/taxation/year-end"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ato.gov.au/individuals/Tax-Return/2017/Supplementary-tax-return/Tax-offset-questions-T3-T11/T8-Early-stage-venture-capital-limited-partnership-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to.gov.au/Forms/Business-and-professional-items-2017/"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B112F-14EA-4159-A76D-56703CB2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2017 Individual Tax Return Checklist</vt:lpstr>
    </vt:vector>
  </TitlesOfParts>
  <Company/>
  <LinksUpToDate>false</LinksUpToDate>
  <CharactersWithSpaces>45902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Individual Tax Return Checklist</dc:title>
  <dc:creator>Michelle Webb</dc:creator>
  <cp:keywords>tax returns, checklists, year end returns</cp:keywords>
  <cp:lastModifiedBy>Robert's Thinkpad</cp:lastModifiedBy>
  <cp:revision>2</cp:revision>
  <cp:lastPrinted>2017-06-08T01:32:00Z</cp:lastPrinted>
  <dcterms:created xsi:type="dcterms:W3CDTF">2017-08-24T23:45:00Z</dcterms:created>
  <dcterms:modified xsi:type="dcterms:W3CDTF">2017-08-24T23:45:00Z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